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10F59" w14:textId="7ACE6A4B" w:rsidR="00706057" w:rsidRPr="00003671" w:rsidRDefault="00460E0F" w:rsidP="00C013F3">
      <w:pPr>
        <w:jc w:val="center"/>
        <w:rPr>
          <w:b/>
        </w:rPr>
      </w:pPr>
      <w:r>
        <w:rPr>
          <w:b/>
        </w:rPr>
        <w:t>226 Salem Heights Ave</w:t>
      </w:r>
      <w:r w:rsidR="00003671" w:rsidRPr="00003671">
        <w:rPr>
          <w:b/>
        </w:rPr>
        <w:t xml:space="preserve"> SE Salem Or 97301</w:t>
      </w:r>
    </w:p>
    <w:p w14:paraId="5400FA86" w14:textId="2014BEBA" w:rsidR="00003671" w:rsidRDefault="00003671" w:rsidP="009118C1">
      <w:pPr>
        <w:jc w:val="center"/>
        <w:rPr>
          <w:b/>
        </w:rPr>
      </w:pPr>
      <w:r w:rsidRPr="00003671">
        <w:rPr>
          <w:b/>
        </w:rPr>
        <w:t xml:space="preserve">Class </w:t>
      </w:r>
      <w:r w:rsidR="00761260">
        <w:rPr>
          <w:b/>
        </w:rPr>
        <w:t>3</w:t>
      </w:r>
      <w:r w:rsidRPr="00003671">
        <w:rPr>
          <w:b/>
        </w:rPr>
        <w:t xml:space="preserve"> Site Plan Review and Class 1 Design Review</w:t>
      </w:r>
    </w:p>
    <w:p w14:paraId="487B0CF5" w14:textId="33ACF9BB" w:rsidR="00003671" w:rsidRDefault="00003671" w:rsidP="00C013F3">
      <w:pPr>
        <w:jc w:val="center"/>
        <w:rPr>
          <w:b/>
        </w:rPr>
      </w:pPr>
    </w:p>
    <w:p w14:paraId="0DF555E6" w14:textId="7AA9716F" w:rsidR="00003671" w:rsidRPr="00761260" w:rsidRDefault="00352777" w:rsidP="00C013F3">
      <w:pPr>
        <w:jc w:val="center"/>
        <w:rPr>
          <w:b/>
          <w:u w:val="single"/>
        </w:rPr>
      </w:pPr>
      <w:r>
        <w:rPr>
          <w:b/>
          <w:u w:val="single"/>
        </w:rPr>
        <w:t xml:space="preserve">October </w:t>
      </w:r>
      <w:r w:rsidR="00C4290B">
        <w:rPr>
          <w:b/>
          <w:u w:val="single"/>
        </w:rPr>
        <w:t>2</w:t>
      </w:r>
      <w:r w:rsidR="00214C00">
        <w:rPr>
          <w:b/>
          <w:u w:val="single"/>
        </w:rPr>
        <w:t>1</w:t>
      </w:r>
      <w:r w:rsidR="00460E0F" w:rsidRPr="00761260">
        <w:rPr>
          <w:b/>
          <w:u w:val="single"/>
        </w:rPr>
        <w:t>, 2021</w:t>
      </w:r>
    </w:p>
    <w:p w14:paraId="325FAFC4" w14:textId="1BE6CE38" w:rsidR="00003671" w:rsidRDefault="00003671" w:rsidP="00C013F3">
      <w:pPr>
        <w:jc w:val="center"/>
        <w:rPr>
          <w:b/>
        </w:rPr>
      </w:pPr>
    </w:p>
    <w:p w14:paraId="0E3F60F1" w14:textId="77777777" w:rsidR="00460E0F" w:rsidRDefault="00460E0F" w:rsidP="00C013F3">
      <w:pPr>
        <w:rPr>
          <w:b/>
          <w:bCs/>
          <w:u w:val="single"/>
        </w:rPr>
      </w:pPr>
    </w:p>
    <w:p w14:paraId="79361CA8" w14:textId="4229BF0B" w:rsidR="001B5C67" w:rsidRPr="005A5231" w:rsidRDefault="001B5C67" w:rsidP="00C013F3">
      <w:pPr>
        <w:rPr>
          <w:b/>
          <w:bCs/>
          <w:i/>
          <w:iCs/>
          <w:sz w:val="28"/>
          <w:szCs w:val="28"/>
        </w:rPr>
      </w:pPr>
      <w:r w:rsidRPr="005A5231">
        <w:rPr>
          <w:b/>
          <w:bCs/>
          <w:i/>
          <w:iCs/>
          <w:sz w:val="28"/>
          <w:szCs w:val="28"/>
        </w:rPr>
        <w:t>Summary Table</w:t>
      </w:r>
    </w:p>
    <w:p w14:paraId="2303F8FB" w14:textId="77777777" w:rsidR="001B5C67" w:rsidRDefault="001B5C67" w:rsidP="00C013F3">
      <w:pPr>
        <w:rPr>
          <w:b/>
          <w:bCs/>
          <w:u w:val="single"/>
        </w:rPr>
      </w:pPr>
    </w:p>
    <w:p w14:paraId="5C42FB58" w14:textId="6AA9A02B" w:rsidR="005A5231" w:rsidRDefault="005A5231" w:rsidP="00C013F3">
      <w:r>
        <w:t>Zoning Designation:</w:t>
      </w:r>
      <w:r>
        <w:tab/>
        <w:t>RM-II</w:t>
      </w:r>
    </w:p>
    <w:p w14:paraId="08728F5B" w14:textId="2823FC57" w:rsidR="005A5231" w:rsidRDefault="005A5231" w:rsidP="00C013F3">
      <w:r>
        <w:t>Total Site Area:</w:t>
      </w:r>
      <w:r>
        <w:tab/>
        <w:t>.3</w:t>
      </w:r>
      <w:r w:rsidR="00C4290B">
        <w:t>6</w:t>
      </w:r>
      <w:r w:rsidR="00214C00">
        <w:t>7</w:t>
      </w:r>
      <w:r>
        <w:t xml:space="preserve"> acres &amp; </w:t>
      </w:r>
      <w:r w:rsidR="00214C00">
        <w:t>15,995</w:t>
      </w:r>
      <w:r>
        <w:t xml:space="preserve"> SF</w:t>
      </w:r>
    </w:p>
    <w:p w14:paraId="5504E734" w14:textId="56194FFA" w:rsidR="005A5231" w:rsidRDefault="005A5231" w:rsidP="00C013F3">
      <w:r>
        <w:t>Gross Floor</w:t>
      </w:r>
      <w:r w:rsidR="00214C00">
        <w:t xml:space="preserve"> </w:t>
      </w:r>
      <w:r>
        <w:t>Area</w:t>
      </w:r>
      <w:r w:rsidR="00214C00">
        <w:t xml:space="preserve"> &amp; Total Lot Coverage</w:t>
      </w:r>
      <w:r>
        <w:t>:</w:t>
      </w:r>
    </w:p>
    <w:p w14:paraId="53BEBD70" w14:textId="20B333B4" w:rsidR="005A5231" w:rsidRDefault="005A5231" w:rsidP="00C013F3">
      <w:r>
        <w:tab/>
        <w:t>Building --</w:t>
      </w:r>
      <w:r>
        <w:tab/>
      </w:r>
      <w:r>
        <w:tab/>
      </w:r>
      <w:r>
        <w:tab/>
      </w:r>
      <w:r w:rsidR="00214C00">
        <w:t>3,492</w:t>
      </w:r>
      <w:r>
        <w:t xml:space="preserve"> SF</w:t>
      </w:r>
    </w:p>
    <w:p w14:paraId="68433BEC" w14:textId="51952EF8" w:rsidR="005A5231" w:rsidRDefault="005A5231" w:rsidP="00C013F3">
      <w:r>
        <w:tab/>
        <w:t xml:space="preserve">Parking &amp; Pedestrian -- </w:t>
      </w:r>
      <w:r>
        <w:tab/>
      </w:r>
      <w:r w:rsidR="00214C00">
        <w:t>4,637</w:t>
      </w:r>
      <w:r>
        <w:t xml:space="preserve"> SF</w:t>
      </w:r>
    </w:p>
    <w:p w14:paraId="279761E6" w14:textId="0E886143" w:rsidR="005A5231" w:rsidRDefault="005A5231" w:rsidP="00C013F3">
      <w:r>
        <w:tab/>
        <w:t>Open Space &amp; Landscape --</w:t>
      </w:r>
      <w:r>
        <w:tab/>
      </w:r>
      <w:r w:rsidR="00214C00">
        <w:t>6,243</w:t>
      </w:r>
      <w:r>
        <w:t xml:space="preserve"> SF</w:t>
      </w:r>
    </w:p>
    <w:p w14:paraId="4F31827F" w14:textId="365C56DF" w:rsidR="005A5231" w:rsidRDefault="005A5231" w:rsidP="00C013F3">
      <w:r>
        <w:t>Building Height:</w:t>
      </w:r>
      <w:r>
        <w:tab/>
        <w:t xml:space="preserve">29’ 3 3/8” Top of Wall </w:t>
      </w:r>
    </w:p>
    <w:p w14:paraId="0F7D6D93" w14:textId="464BA48C" w:rsidR="005A5231" w:rsidRDefault="005A5231" w:rsidP="00C013F3">
      <w:r>
        <w:t>Parking Spaces Itemized:</w:t>
      </w:r>
    </w:p>
    <w:p w14:paraId="5EF46E3E" w14:textId="43482865" w:rsidR="005A5231" w:rsidRDefault="005A5231" w:rsidP="00C013F3">
      <w:r>
        <w:tab/>
        <w:t xml:space="preserve">Garage Spaces -- </w:t>
      </w:r>
      <w:r>
        <w:tab/>
        <w:t>8</w:t>
      </w:r>
    </w:p>
    <w:p w14:paraId="424274A5" w14:textId="6CAD7F08" w:rsidR="005A5231" w:rsidRDefault="005A5231" w:rsidP="00C013F3">
      <w:r>
        <w:tab/>
        <w:t>Tandem Spaces --</w:t>
      </w:r>
      <w:r>
        <w:tab/>
        <w:t>8 (8 tandem spaces behind 8 garage spaces)</w:t>
      </w:r>
    </w:p>
    <w:p w14:paraId="56EF5702" w14:textId="219D98D8" w:rsidR="005A5231" w:rsidRDefault="005A5231" w:rsidP="00C013F3">
      <w:r>
        <w:tab/>
        <w:t>Compact Spaces --</w:t>
      </w:r>
      <w:r>
        <w:tab/>
      </w:r>
      <w:r w:rsidR="00352777">
        <w:t>4</w:t>
      </w:r>
    </w:p>
    <w:p w14:paraId="0015510E" w14:textId="169CEC69" w:rsidR="005A5231" w:rsidRDefault="005A5231" w:rsidP="00C013F3">
      <w:r>
        <w:tab/>
        <w:t xml:space="preserve">TOTAL PARKING SPACES – </w:t>
      </w:r>
      <w:r w:rsidR="00352777">
        <w:t>20</w:t>
      </w:r>
    </w:p>
    <w:p w14:paraId="189D5CEF" w14:textId="09B9B128" w:rsidR="005A5231" w:rsidRDefault="00214C00" w:rsidP="00C013F3">
      <w:r>
        <w:t>Bike Spaces</w:t>
      </w:r>
      <w:r>
        <w:tab/>
        <w:t>4</w:t>
      </w:r>
    </w:p>
    <w:p w14:paraId="54F639DC" w14:textId="0516A303" w:rsidR="005A5231" w:rsidRDefault="005A5231" w:rsidP="00C013F3"/>
    <w:p w14:paraId="21CA0942" w14:textId="77777777" w:rsidR="00530796" w:rsidRDefault="00530796" w:rsidP="00C013F3">
      <w:pPr>
        <w:rPr>
          <w:b/>
          <w:bCs/>
          <w:i/>
          <w:iCs/>
          <w:sz w:val="28"/>
          <w:szCs w:val="28"/>
        </w:rPr>
      </w:pPr>
    </w:p>
    <w:p w14:paraId="4B48FE10" w14:textId="77777777" w:rsidR="00A1434F" w:rsidRDefault="00A1434F" w:rsidP="00C013F3">
      <w:pPr>
        <w:rPr>
          <w:b/>
          <w:bCs/>
          <w:i/>
          <w:iCs/>
          <w:sz w:val="28"/>
          <w:szCs w:val="28"/>
        </w:rPr>
      </w:pPr>
    </w:p>
    <w:p w14:paraId="507867C1" w14:textId="72ABFE55" w:rsidR="005A5231" w:rsidRPr="005A5231" w:rsidRDefault="005A5231" w:rsidP="00C013F3">
      <w:pPr>
        <w:rPr>
          <w:b/>
          <w:bCs/>
          <w:i/>
          <w:iCs/>
          <w:sz w:val="28"/>
          <w:szCs w:val="28"/>
        </w:rPr>
      </w:pPr>
      <w:r w:rsidRPr="005A5231">
        <w:rPr>
          <w:b/>
          <w:bCs/>
          <w:i/>
          <w:iCs/>
          <w:sz w:val="28"/>
          <w:szCs w:val="28"/>
        </w:rPr>
        <w:t>Written Statement</w:t>
      </w:r>
    </w:p>
    <w:p w14:paraId="0443B836" w14:textId="77777777" w:rsidR="005A5231" w:rsidRDefault="005A5231" w:rsidP="00C013F3">
      <w:pPr>
        <w:rPr>
          <w:b/>
          <w:bCs/>
          <w:u w:val="single"/>
        </w:rPr>
      </w:pPr>
    </w:p>
    <w:p w14:paraId="625DC4A3" w14:textId="1FB24253" w:rsidR="00412D4E" w:rsidRPr="00412D4E" w:rsidRDefault="00412D4E" w:rsidP="00C013F3">
      <w:pPr>
        <w:rPr>
          <w:b/>
          <w:bCs/>
          <w:u w:val="single"/>
        </w:rPr>
      </w:pPr>
      <w:r w:rsidRPr="00412D4E">
        <w:rPr>
          <w:b/>
          <w:bCs/>
          <w:u w:val="single"/>
        </w:rPr>
        <w:t>Zoning of Surrounding Properties</w:t>
      </w:r>
    </w:p>
    <w:p w14:paraId="0B5F5968" w14:textId="47B1FBA8" w:rsidR="00412D4E" w:rsidRDefault="00412D4E" w:rsidP="00C013F3">
      <w:r>
        <w:t>North:</w:t>
      </w:r>
      <w:r>
        <w:tab/>
      </w:r>
      <w:r w:rsidR="009F45B5">
        <w:t>Right of way for Salem Heights Avenue SE</w:t>
      </w:r>
    </w:p>
    <w:p w14:paraId="17115C99" w14:textId="01B8E9E3" w:rsidR="00412D4E" w:rsidRDefault="00412D4E" w:rsidP="00C013F3">
      <w:r>
        <w:t>South:</w:t>
      </w:r>
      <w:r>
        <w:tab/>
        <w:t>RM-II</w:t>
      </w:r>
      <w:r w:rsidR="009F45B5">
        <w:t xml:space="preserve"> (Multiple Family Residential)</w:t>
      </w:r>
    </w:p>
    <w:p w14:paraId="75312F58" w14:textId="77777777" w:rsidR="009F45B5" w:rsidRDefault="00412D4E" w:rsidP="00C013F3">
      <w:r>
        <w:t>East:</w:t>
      </w:r>
      <w:r>
        <w:tab/>
      </w:r>
      <w:r w:rsidR="009F45B5">
        <w:t>RM-II (Multiple Family Residential)</w:t>
      </w:r>
    </w:p>
    <w:p w14:paraId="638C5B85" w14:textId="33CDFAD0" w:rsidR="00412D4E" w:rsidRDefault="00412D4E" w:rsidP="00C013F3">
      <w:r>
        <w:t>West:</w:t>
      </w:r>
      <w:r>
        <w:tab/>
      </w:r>
      <w:r w:rsidR="009F45B5">
        <w:t>Right of way Crawford Street SE</w:t>
      </w:r>
      <w:r>
        <w:t xml:space="preserve"> </w:t>
      </w:r>
    </w:p>
    <w:p w14:paraId="5A047057" w14:textId="3076A916" w:rsidR="00412D4E" w:rsidRDefault="00412D4E" w:rsidP="00C013F3"/>
    <w:p w14:paraId="534178EC" w14:textId="77777777" w:rsidR="00460E0F" w:rsidRDefault="00460E0F" w:rsidP="00C013F3"/>
    <w:p w14:paraId="479819FA" w14:textId="363A6E24" w:rsidR="00412D4E" w:rsidRPr="009F76F1" w:rsidRDefault="00412D4E" w:rsidP="00C013F3">
      <w:pPr>
        <w:rPr>
          <w:b/>
          <w:bCs/>
          <w:u w:val="single"/>
        </w:rPr>
      </w:pPr>
      <w:r w:rsidRPr="00412D4E">
        <w:rPr>
          <w:b/>
          <w:bCs/>
          <w:u w:val="single"/>
        </w:rPr>
        <w:t>Proposed Use</w:t>
      </w:r>
    </w:p>
    <w:p w14:paraId="2C9DCEEB" w14:textId="44ED1591" w:rsidR="009473A6" w:rsidRDefault="00E52087" w:rsidP="00C013F3">
      <w:r>
        <w:rPr>
          <w:color w:val="000000" w:themeColor="text1"/>
        </w:rPr>
        <w:t xml:space="preserve">The development will consist of </w:t>
      </w:r>
      <w:r w:rsidR="00352777">
        <w:rPr>
          <w:color w:val="000000" w:themeColor="text1"/>
        </w:rPr>
        <w:t xml:space="preserve">(2) plex buildings &amp; (2) duplex buildings totaling </w:t>
      </w:r>
      <w:r>
        <w:rPr>
          <w:color w:val="000000" w:themeColor="text1"/>
        </w:rPr>
        <w:t>10-unit</w:t>
      </w:r>
      <w:r w:rsidR="00352777">
        <w:rPr>
          <w:color w:val="000000" w:themeColor="text1"/>
        </w:rPr>
        <w:t xml:space="preserve">s </w:t>
      </w:r>
      <w:r w:rsidR="009F45B5">
        <w:rPr>
          <w:color w:val="000000" w:themeColor="text1"/>
        </w:rPr>
        <w:t xml:space="preserve">on property zoned </w:t>
      </w:r>
      <w:r>
        <w:rPr>
          <w:color w:val="000000" w:themeColor="text1"/>
        </w:rPr>
        <w:t>RM-II zone</w:t>
      </w:r>
      <w:r w:rsidR="009473A6">
        <w:rPr>
          <w:color w:val="000000" w:themeColor="text1"/>
        </w:rPr>
        <w:t>.</w:t>
      </w:r>
      <w:r w:rsidR="009F45B5">
        <w:rPr>
          <w:color w:val="000000" w:themeColor="text1"/>
        </w:rPr>
        <w:t xml:space="preserve"> </w:t>
      </w:r>
      <w:r w:rsidR="009F45B5">
        <w:t xml:space="preserve">The subject property is .39 acres &amp; 16,995 SF (Marion County Assessor’s Map and Tax Lot number 083W03BD09100). </w:t>
      </w:r>
      <w:r>
        <w:t xml:space="preserve">The existing building, shed, planter and </w:t>
      </w:r>
      <w:r w:rsidR="00AE454E">
        <w:t>driveway off Salem Heights will be demolished and removed.</w:t>
      </w:r>
    </w:p>
    <w:p w14:paraId="61974383" w14:textId="11C8DDF6" w:rsidR="00876AB1" w:rsidRDefault="00876AB1" w:rsidP="00C013F3"/>
    <w:p w14:paraId="61F7F33E" w14:textId="77777777" w:rsidR="00460E0F" w:rsidRDefault="00460E0F" w:rsidP="00C013F3"/>
    <w:p w14:paraId="161DE152" w14:textId="02348E85" w:rsidR="00876AB1" w:rsidRDefault="00876AB1" w:rsidP="00C013F3">
      <w:r w:rsidRPr="00876AB1">
        <w:rPr>
          <w:b/>
          <w:bCs/>
        </w:rPr>
        <w:t>Dwelling Unit Density:</w:t>
      </w:r>
      <w:r>
        <w:t xml:space="preserve"> The subject property is </w:t>
      </w:r>
      <w:r w:rsidR="00AE454E">
        <w:t xml:space="preserve">.39 acres &amp; 16,995 SF </w:t>
      </w:r>
      <w:r w:rsidR="00214C00">
        <w:t xml:space="preserve">and </w:t>
      </w:r>
      <w:r w:rsidR="00AE454E">
        <w:t xml:space="preserve">is located in the RM-II zone.  Assuming a 10-foot right of way dedication or special setback is required on Salem </w:t>
      </w:r>
      <w:r w:rsidR="00AE454E">
        <w:lastRenderedPageBreak/>
        <w:t>Heights, the lot area would be reduced by 1,033.3 SF to 15,994.662 SF (.367 acre) which allows a maximum of 10 units</w:t>
      </w:r>
      <w:r>
        <w:t>, which is in compliance with the density standards in the RM-II zone.</w:t>
      </w:r>
    </w:p>
    <w:p w14:paraId="242E1A1B" w14:textId="003B794E" w:rsidR="00876AB1" w:rsidRDefault="00876AB1" w:rsidP="00C013F3"/>
    <w:p w14:paraId="04A94868" w14:textId="77777777" w:rsidR="00460E0F" w:rsidRDefault="00460E0F" w:rsidP="00C013F3"/>
    <w:p w14:paraId="26882D9B" w14:textId="580452D6" w:rsidR="009473A6" w:rsidRPr="009473A6" w:rsidRDefault="009473A6" w:rsidP="00C013F3">
      <w:pPr>
        <w:rPr>
          <w:color w:val="000000" w:themeColor="text1"/>
        </w:rPr>
      </w:pPr>
      <w:r w:rsidRPr="009473A6">
        <w:rPr>
          <w:b/>
          <w:bCs/>
        </w:rPr>
        <w:t>Site Plan:</w:t>
      </w:r>
      <w:r>
        <w:t xml:space="preserve">  Please see the attached Site Plan.  The Site Plan is in compliance with the RM-II zone.</w:t>
      </w:r>
    </w:p>
    <w:p w14:paraId="2E0B0AD5" w14:textId="6D4B718E" w:rsidR="009473A6" w:rsidRDefault="009473A6" w:rsidP="00C013F3"/>
    <w:p w14:paraId="02505082" w14:textId="77777777" w:rsidR="00460E0F" w:rsidRDefault="00460E0F" w:rsidP="00C013F3"/>
    <w:p w14:paraId="47B4439C" w14:textId="51A53B43" w:rsidR="00876AB1" w:rsidRDefault="00876AB1" w:rsidP="00C013F3">
      <w:r w:rsidRPr="00876AB1">
        <w:rPr>
          <w:b/>
          <w:bCs/>
        </w:rPr>
        <w:t>Setbacks:</w:t>
      </w:r>
      <w:r>
        <w:t xml:space="preserve"> The project is in compliance with the RM-II zone.</w:t>
      </w:r>
    </w:p>
    <w:p w14:paraId="28FA03AD" w14:textId="5E2D388F" w:rsidR="00876AB1" w:rsidRDefault="00876AB1" w:rsidP="00C013F3"/>
    <w:p w14:paraId="07DF9BAC" w14:textId="77777777" w:rsidR="00460E0F" w:rsidRDefault="00460E0F" w:rsidP="00C013F3"/>
    <w:p w14:paraId="36BFDF23" w14:textId="4ADF47A4" w:rsidR="00876AB1" w:rsidRDefault="00876AB1" w:rsidP="00C013F3">
      <w:r w:rsidRPr="00876AB1">
        <w:rPr>
          <w:b/>
          <w:bCs/>
        </w:rPr>
        <w:t>Lot Coverage:</w:t>
      </w:r>
      <w:r>
        <w:t xml:space="preserve"> The project is in compliance with the RM-II zone.</w:t>
      </w:r>
    </w:p>
    <w:p w14:paraId="72CC314C" w14:textId="2863D82C" w:rsidR="00876AB1" w:rsidRDefault="00876AB1" w:rsidP="00C013F3"/>
    <w:p w14:paraId="1968DCCA" w14:textId="77777777" w:rsidR="00460E0F" w:rsidRDefault="00460E0F" w:rsidP="00C013F3"/>
    <w:p w14:paraId="00878C5A" w14:textId="7F0D0E72" w:rsidR="00876AB1" w:rsidRPr="00876AB1" w:rsidRDefault="00876AB1" w:rsidP="00C013F3">
      <w:r w:rsidRPr="00876AB1">
        <w:rPr>
          <w:b/>
          <w:bCs/>
        </w:rPr>
        <w:t>Height:</w:t>
      </w:r>
      <w:r>
        <w:rPr>
          <w:b/>
          <w:bCs/>
        </w:rPr>
        <w:t xml:space="preserve"> </w:t>
      </w:r>
      <w:r>
        <w:t>The project is in compliance with the RM-II zone.</w:t>
      </w:r>
    </w:p>
    <w:p w14:paraId="0B4452F7" w14:textId="66EAEBD3" w:rsidR="00876AB1" w:rsidRDefault="00876AB1" w:rsidP="00C013F3"/>
    <w:p w14:paraId="5D65F191" w14:textId="77777777" w:rsidR="00460E0F" w:rsidRDefault="00460E0F" w:rsidP="00C013F3"/>
    <w:p w14:paraId="55FDCE98" w14:textId="5F1BD55B" w:rsidR="00876AB1" w:rsidRPr="00876AB1" w:rsidRDefault="00876AB1" w:rsidP="00C013F3">
      <w:r w:rsidRPr="00876AB1">
        <w:rPr>
          <w:b/>
          <w:bCs/>
        </w:rPr>
        <w:t>Landscaping:</w:t>
      </w:r>
      <w:r>
        <w:rPr>
          <w:b/>
          <w:bCs/>
        </w:rPr>
        <w:t xml:space="preserve"> </w:t>
      </w:r>
      <w:r>
        <w:t>The project is in compliance with the RM-II zone.</w:t>
      </w:r>
    </w:p>
    <w:p w14:paraId="4838C6A9" w14:textId="2AF12171" w:rsidR="00876AB1" w:rsidRDefault="00876AB1" w:rsidP="00C013F3"/>
    <w:p w14:paraId="7F9CB6C0" w14:textId="77777777" w:rsidR="00460E0F" w:rsidRDefault="00460E0F" w:rsidP="00C013F3"/>
    <w:p w14:paraId="79FC4EA2" w14:textId="08DA3F49" w:rsidR="00876AB1" w:rsidRDefault="00876AB1" w:rsidP="00C013F3">
      <w:r w:rsidRPr="00876AB1">
        <w:rPr>
          <w:b/>
          <w:bCs/>
        </w:rPr>
        <w:t>Outdoor Storage:</w:t>
      </w:r>
      <w:r>
        <w:t xml:space="preserve"> Project will have no outdoor storage</w:t>
      </w:r>
      <w:r w:rsidR="009F45B5">
        <w:t>.</w:t>
      </w:r>
    </w:p>
    <w:p w14:paraId="6E128753" w14:textId="3A1BE7A0" w:rsidR="009F76F1" w:rsidRDefault="009F76F1" w:rsidP="00C013F3">
      <w:pPr>
        <w:rPr>
          <w:b/>
          <w:bCs/>
          <w:u w:val="single"/>
        </w:rPr>
      </w:pPr>
    </w:p>
    <w:p w14:paraId="5B91B2F9" w14:textId="77777777" w:rsidR="00460E0F" w:rsidRDefault="00460E0F" w:rsidP="00C013F3">
      <w:pPr>
        <w:rPr>
          <w:b/>
          <w:bCs/>
          <w:u w:val="single"/>
        </w:rPr>
      </w:pPr>
    </w:p>
    <w:p w14:paraId="036BCC64" w14:textId="7F192175" w:rsidR="00107347" w:rsidRDefault="00876AB1" w:rsidP="00107347">
      <w:pPr>
        <w:rPr>
          <w:b/>
          <w:bCs/>
        </w:rPr>
      </w:pPr>
      <w:r w:rsidRPr="00BE22DB">
        <w:rPr>
          <w:b/>
          <w:bCs/>
        </w:rPr>
        <w:t>Off-street Parking</w:t>
      </w:r>
      <w:r w:rsidR="00BE22DB" w:rsidRPr="00BE22DB">
        <w:rPr>
          <w:b/>
          <w:bCs/>
        </w:rPr>
        <w:t xml:space="preserve">: </w:t>
      </w:r>
      <w:r w:rsidR="00107347">
        <w:rPr>
          <w:b/>
          <w:bCs/>
        </w:rPr>
        <w:t>Applicant is requesting a Class 1 Adjustment to add 2 additional parking spaces for the project to offer relief to the neighbor</w:t>
      </w:r>
      <w:r w:rsidR="00214C00">
        <w:rPr>
          <w:b/>
          <w:bCs/>
        </w:rPr>
        <w:t>hood</w:t>
      </w:r>
      <w:r w:rsidR="00107347">
        <w:rPr>
          <w:b/>
          <w:bCs/>
        </w:rPr>
        <w:t xml:space="preserve"> concerns for lack of parking.  </w:t>
      </w:r>
    </w:p>
    <w:p w14:paraId="58BD1EE3" w14:textId="0D532F6B" w:rsidR="00530796" w:rsidRDefault="00530796" w:rsidP="00C45D85">
      <w:pPr>
        <w:rPr>
          <w:b/>
          <w:bCs/>
        </w:rPr>
      </w:pPr>
      <w:r>
        <w:rPr>
          <w:b/>
          <w:bCs/>
        </w:rPr>
        <w:t>During</w:t>
      </w:r>
      <w:r w:rsidR="00352777">
        <w:rPr>
          <w:b/>
          <w:bCs/>
        </w:rPr>
        <w:t xml:space="preserve"> </w:t>
      </w:r>
      <w:r w:rsidR="00107347">
        <w:rPr>
          <w:b/>
          <w:bCs/>
        </w:rPr>
        <w:t xml:space="preserve">the </w:t>
      </w:r>
      <w:r w:rsidR="00352777">
        <w:rPr>
          <w:b/>
          <w:bCs/>
        </w:rPr>
        <w:t>initial application</w:t>
      </w:r>
      <w:r w:rsidR="00107347">
        <w:rPr>
          <w:b/>
          <w:bCs/>
        </w:rPr>
        <w:t xml:space="preserve"> which was appealed and denied</w:t>
      </w:r>
      <w:r w:rsidR="00352777">
        <w:rPr>
          <w:b/>
          <w:bCs/>
        </w:rPr>
        <w:t xml:space="preserve"> the neighbor</w:t>
      </w:r>
      <w:r w:rsidR="00214C00">
        <w:rPr>
          <w:b/>
          <w:bCs/>
        </w:rPr>
        <w:t>hood</w:t>
      </w:r>
      <w:r w:rsidR="00352777">
        <w:rPr>
          <w:b/>
          <w:bCs/>
        </w:rPr>
        <w:t xml:space="preserve"> made it clear that the site needs more parking.  The applicant is proposing 2 additional compact spaces.</w:t>
      </w:r>
      <w:r>
        <w:rPr>
          <w:b/>
          <w:bCs/>
        </w:rPr>
        <w:t xml:space="preserve"> </w:t>
      </w:r>
    </w:p>
    <w:p w14:paraId="1F17461A" w14:textId="77777777" w:rsidR="00530796" w:rsidRDefault="00530796" w:rsidP="00C45D85">
      <w:pPr>
        <w:rPr>
          <w:b/>
          <w:bCs/>
        </w:rPr>
      </w:pPr>
    </w:p>
    <w:p w14:paraId="0D95C58F" w14:textId="77777777" w:rsidR="00530796" w:rsidRDefault="00530796" w:rsidP="00C45D85">
      <w:pPr>
        <w:rPr>
          <w:b/>
          <w:bCs/>
        </w:rPr>
      </w:pPr>
    </w:p>
    <w:p w14:paraId="020BA859" w14:textId="0006A227" w:rsidR="00C45D85" w:rsidRDefault="00C45D85" w:rsidP="00C45D85">
      <w:r>
        <w:t xml:space="preserve">The proposed development </w:t>
      </w:r>
      <w:r w:rsidR="00AE454E">
        <w:t>is within the 0.1 mile of the Core Network</w:t>
      </w:r>
      <w:r w:rsidR="00530796">
        <w:t xml:space="preserve"> where n</w:t>
      </w:r>
      <w:r w:rsidR="00AE454E">
        <w:t xml:space="preserve">o </w:t>
      </w:r>
      <w:r w:rsidR="00530796">
        <w:t>p</w:t>
      </w:r>
      <w:r w:rsidR="00AE454E">
        <w:t xml:space="preserve">arking is </w:t>
      </w:r>
      <w:r w:rsidR="00530796">
        <w:t>r</w:t>
      </w:r>
      <w:r w:rsidR="00AE454E">
        <w:t>equired</w:t>
      </w:r>
      <w:r w:rsidR="00530796">
        <w:t xml:space="preserve"> &amp; the m</w:t>
      </w:r>
      <w:r w:rsidR="00AE454E">
        <w:t xml:space="preserve">aximum parking is 1.75 spaces per dwelling unit.  </w:t>
      </w:r>
      <w:r w:rsidR="009F45B5">
        <w:t xml:space="preserve">The project </w:t>
      </w:r>
      <w:r w:rsidR="00530796">
        <w:t>has</w:t>
      </w:r>
      <w:r w:rsidR="009F45B5">
        <w:t xml:space="preserve"> 10 units </w:t>
      </w:r>
      <w:r w:rsidR="00530796">
        <w:t xml:space="preserve">and is allowed </w:t>
      </w:r>
      <w:r w:rsidR="009F45B5">
        <w:t>18 parking spaces</w:t>
      </w:r>
      <w:r w:rsidR="00530796">
        <w:t xml:space="preserve"> an additional </w:t>
      </w:r>
      <w:r w:rsidR="00107347">
        <w:t>2 compact s</w:t>
      </w:r>
      <w:r w:rsidR="00530796">
        <w:t>pace</w:t>
      </w:r>
      <w:r w:rsidR="00107347">
        <w:t>s are being requested to increase the total parking spaces to 20</w:t>
      </w:r>
      <w:r w:rsidR="00530796">
        <w:t>.</w:t>
      </w:r>
    </w:p>
    <w:p w14:paraId="16AE2F8B" w14:textId="77777777" w:rsidR="00530796" w:rsidRDefault="00530796" w:rsidP="00530796"/>
    <w:p w14:paraId="45A99776" w14:textId="03FEDC06" w:rsidR="00530796" w:rsidRDefault="00530796" w:rsidP="00530796">
      <w:r>
        <w:t>Off-Street Parking Spaces Itemized:</w:t>
      </w:r>
    </w:p>
    <w:p w14:paraId="16246129" w14:textId="77777777" w:rsidR="00530796" w:rsidRDefault="00530796" w:rsidP="00530796">
      <w:r>
        <w:tab/>
        <w:t xml:space="preserve">Garage Spaces -- </w:t>
      </w:r>
      <w:r>
        <w:tab/>
        <w:t>8</w:t>
      </w:r>
    </w:p>
    <w:p w14:paraId="0CB02CD4" w14:textId="77777777" w:rsidR="00530796" w:rsidRDefault="00530796" w:rsidP="00530796">
      <w:r>
        <w:tab/>
        <w:t>Tandem Spaces --</w:t>
      </w:r>
      <w:r>
        <w:tab/>
        <w:t>8 (8 tandem spaces behind 8 garage spaces)</w:t>
      </w:r>
    </w:p>
    <w:p w14:paraId="5DB466B4" w14:textId="55CA6539" w:rsidR="00530796" w:rsidRDefault="00530796" w:rsidP="00530796">
      <w:r>
        <w:tab/>
        <w:t>Compact Spaces --</w:t>
      </w:r>
      <w:r>
        <w:tab/>
      </w:r>
      <w:r w:rsidR="00352777">
        <w:t>4</w:t>
      </w:r>
    </w:p>
    <w:p w14:paraId="3FEAEDEC" w14:textId="4403D3DD" w:rsidR="00530796" w:rsidRDefault="00530796" w:rsidP="00530796">
      <w:r>
        <w:tab/>
        <w:t xml:space="preserve">TOTAL PARKING SPACES – </w:t>
      </w:r>
      <w:r w:rsidR="00352777">
        <w:t>20</w:t>
      </w:r>
    </w:p>
    <w:p w14:paraId="3A6BEFEC" w14:textId="77777777" w:rsidR="00530796" w:rsidRDefault="00530796" w:rsidP="00C45D85"/>
    <w:p w14:paraId="3CFDC072" w14:textId="59B2A265" w:rsidR="009F45B5" w:rsidRDefault="009F45B5" w:rsidP="00C45D85">
      <w:r w:rsidRPr="009F45B5">
        <w:rPr>
          <w:b/>
          <w:bCs/>
        </w:rPr>
        <w:t>Driveways:</w:t>
      </w:r>
      <w:r>
        <w:t xml:space="preserve">  </w:t>
      </w:r>
      <w:r w:rsidR="00352777">
        <w:t>1 driveway off of</w:t>
      </w:r>
      <w:r>
        <w:t xml:space="preserve"> Crawford.</w:t>
      </w:r>
    </w:p>
    <w:p w14:paraId="21CBA9B4" w14:textId="6719CE0E" w:rsidR="009473A6" w:rsidRDefault="009473A6" w:rsidP="00C45D85"/>
    <w:p w14:paraId="6402DC2E" w14:textId="77777777" w:rsidR="00460E0F" w:rsidRDefault="00460E0F" w:rsidP="00C45D85"/>
    <w:p w14:paraId="68593444" w14:textId="2FE1CBB3" w:rsidR="009473A6" w:rsidRDefault="009473A6" w:rsidP="00C45D85">
      <w:r w:rsidRPr="009473A6">
        <w:rPr>
          <w:b/>
          <w:bCs/>
        </w:rPr>
        <w:t>Bike Spaces</w:t>
      </w:r>
      <w:r>
        <w:t>: The project is in compliance with the RM-II zone.</w:t>
      </w:r>
    </w:p>
    <w:p w14:paraId="76BE3B38" w14:textId="77777777" w:rsidR="00E80542" w:rsidRDefault="00E80542" w:rsidP="00C45D85">
      <w:pPr>
        <w:rPr>
          <w:b/>
          <w:bCs/>
        </w:rPr>
      </w:pPr>
    </w:p>
    <w:p w14:paraId="19E8BBD3" w14:textId="77777777" w:rsidR="00460E0F" w:rsidRDefault="00460E0F" w:rsidP="00C013F3">
      <w:pPr>
        <w:rPr>
          <w:b/>
          <w:bCs/>
        </w:rPr>
      </w:pPr>
    </w:p>
    <w:p w14:paraId="1D9D1F33" w14:textId="7DD2C551" w:rsidR="00460E0F" w:rsidRDefault="009234EC" w:rsidP="00C013F3">
      <w:r w:rsidRPr="009234EC">
        <w:rPr>
          <w:b/>
          <w:bCs/>
        </w:rPr>
        <w:t>Historic and Cultural Resources Protection Zone:</w:t>
      </w:r>
      <w:r>
        <w:t xml:space="preserve">  I </w:t>
      </w:r>
      <w:r w:rsidR="00460E0F">
        <w:t xml:space="preserve">received this email from </w:t>
      </w:r>
      <w:r>
        <w:t xml:space="preserve">Kimberli Fitzgerald </w:t>
      </w:r>
      <w:r w:rsidR="00460E0F">
        <w:t>on 1-4-2021:</w:t>
      </w:r>
    </w:p>
    <w:p w14:paraId="3E6ED1A9" w14:textId="77777777" w:rsidR="00460E0F" w:rsidRDefault="00460E0F" w:rsidP="00460E0F">
      <w:pPr>
        <w:rPr>
          <w:rFonts w:ascii="Calibri" w:eastAsia="Times New Roman" w:hAnsi="Calibri" w:cs="Calibri"/>
          <w:color w:val="000000"/>
          <w:sz w:val="22"/>
          <w:szCs w:val="22"/>
        </w:rPr>
      </w:pPr>
    </w:p>
    <w:p w14:paraId="22BADE2C" w14:textId="107A49D3" w:rsidR="00460E0F" w:rsidRPr="00460E0F" w:rsidRDefault="00460E0F" w:rsidP="00460E0F">
      <w:pPr>
        <w:rPr>
          <w:rFonts w:ascii="Calibri" w:eastAsia="Times New Roman" w:hAnsi="Calibri" w:cs="Calibri"/>
          <w:color w:val="000000"/>
          <w:sz w:val="22"/>
          <w:szCs w:val="22"/>
        </w:rPr>
      </w:pPr>
      <w:r w:rsidRPr="00460E0F">
        <w:rPr>
          <w:rFonts w:ascii="Calibri" w:eastAsia="Times New Roman" w:hAnsi="Calibri" w:cs="Calibri"/>
          <w:color w:val="000000"/>
          <w:sz w:val="22"/>
          <w:szCs w:val="22"/>
        </w:rPr>
        <w:t>Hi Sam;</w:t>
      </w:r>
    </w:p>
    <w:p w14:paraId="75E9F1C2" w14:textId="77777777" w:rsidR="00460E0F" w:rsidRPr="00460E0F" w:rsidRDefault="00460E0F" w:rsidP="00460E0F">
      <w:pPr>
        <w:rPr>
          <w:rFonts w:ascii="Calibri" w:eastAsia="Times New Roman" w:hAnsi="Calibri" w:cs="Calibri"/>
          <w:color w:val="000000"/>
          <w:sz w:val="22"/>
          <w:szCs w:val="22"/>
        </w:rPr>
      </w:pPr>
      <w:r w:rsidRPr="00460E0F">
        <w:rPr>
          <w:rFonts w:ascii="Calibri" w:eastAsia="Times New Roman" w:hAnsi="Calibri" w:cs="Calibri"/>
          <w:color w:val="000000"/>
          <w:sz w:val="22"/>
          <w:szCs w:val="22"/>
        </w:rPr>
        <w:t>Yes, thank you for reaching out. This property is within our Historic and Cultural Protection Zone due to the high probability that archaeological resources may be encountered during any ground disturbing activity.  I’ve attached our general FAQ about what being in this zone means.  </w:t>
      </w:r>
    </w:p>
    <w:p w14:paraId="2AEC8D06" w14:textId="77777777" w:rsidR="00460E0F" w:rsidRPr="00460E0F" w:rsidRDefault="00460E0F" w:rsidP="00460E0F">
      <w:pPr>
        <w:rPr>
          <w:rFonts w:ascii="Calibri" w:eastAsia="Times New Roman" w:hAnsi="Calibri" w:cs="Calibri"/>
          <w:color w:val="000000"/>
          <w:sz w:val="22"/>
          <w:szCs w:val="22"/>
        </w:rPr>
      </w:pPr>
      <w:r w:rsidRPr="00460E0F">
        <w:rPr>
          <w:rFonts w:ascii="Calibri" w:eastAsia="Times New Roman" w:hAnsi="Calibri" w:cs="Calibri"/>
          <w:color w:val="000000"/>
          <w:sz w:val="22"/>
          <w:szCs w:val="22"/>
        </w:rPr>
        <w:t> </w:t>
      </w:r>
    </w:p>
    <w:p w14:paraId="4FEAE83C" w14:textId="77777777" w:rsidR="00460E0F" w:rsidRPr="00460E0F" w:rsidRDefault="00460E0F" w:rsidP="00460E0F">
      <w:pPr>
        <w:rPr>
          <w:rFonts w:ascii="Calibri" w:eastAsia="Times New Roman" w:hAnsi="Calibri" w:cs="Calibri"/>
          <w:color w:val="000000"/>
          <w:sz w:val="22"/>
          <w:szCs w:val="22"/>
        </w:rPr>
      </w:pPr>
      <w:r w:rsidRPr="00460E0F">
        <w:rPr>
          <w:rFonts w:ascii="Calibri" w:eastAsia="Times New Roman" w:hAnsi="Calibri" w:cs="Calibri"/>
          <w:color w:val="000000"/>
          <w:sz w:val="22"/>
          <w:szCs w:val="22"/>
        </w:rPr>
        <w:t>In sum, if no federal permits are required (</w:t>
      </w:r>
      <w:proofErr w:type="spellStart"/>
      <w:r w:rsidRPr="00460E0F">
        <w:rPr>
          <w:rFonts w:ascii="Calibri" w:eastAsia="Times New Roman" w:hAnsi="Calibri" w:cs="Calibri"/>
          <w:color w:val="000000"/>
          <w:sz w:val="22"/>
          <w:szCs w:val="22"/>
        </w:rPr>
        <w:t>ie</w:t>
      </w:r>
      <w:proofErr w:type="spellEnd"/>
      <w:r w:rsidRPr="00460E0F">
        <w:rPr>
          <w:rFonts w:ascii="Calibri" w:eastAsia="Times New Roman" w:hAnsi="Calibri" w:cs="Calibri"/>
          <w:color w:val="000000"/>
          <w:sz w:val="22"/>
          <w:szCs w:val="22"/>
        </w:rPr>
        <w:t>. Army Corps) and you are not using any public funds for the project and the property itself is not publicly owned – then no additional historic clearance for the work you are proposing is required.  However, an IDP (Inadvertent Discovery Plan) must be in place/provided to the contractor/developer who will be in the field during any ground disturbing activity.   This plan provides direction about what to do in the event that something is inadvertently uncovered during work.</w:t>
      </w:r>
    </w:p>
    <w:p w14:paraId="01DC2376" w14:textId="77777777" w:rsidR="00460E0F" w:rsidRPr="00460E0F" w:rsidRDefault="00460E0F" w:rsidP="00460E0F">
      <w:pPr>
        <w:rPr>
          <w:rFonts w:ascii="Calibri" w:eastAsia="Times New Roman" w:hAnsi="Calibri" w:cs="Calibri"/>
          <w:color w:val="000000"/>
          <w:sz w:val="22"/>
          <w:szCs w:val="22"/>
        </w:rPr>
      </w:pPr>
      <w:r w:rsidRPr="00460E0F">
        <w:rPr>
          <w:rFonts w:ascii="Calibri" w:eastAsia="Times New Roman" w:hAnsi="Calibri" w:cs="Calibri"/>
          <w:color w:val="000000"/>
          <w:sz w:val="22"/>
          <w:szCs w:val="22"/>
        </w:rPr>
        <w:t> </w:t>
      </w:r>
    </w:p>
    <w:p w14:paraId="75491B4A" w14:textId="77777777" w:rsidR="00460E0F" w:rsidRPr="00460E0F" w:rsidRDefault="00460E0F" w:rsidP="00460E0F">
      <w:pPr>
        <w:rPr>
          <w:rFonts w:ascii="Calibri" w:eastAsia="Times New Roman" w:hAnsi="Calibri" w:cs="Calibri"/>
          <w:color w:val="000000"/>
          <w:sz w:val="22"/>
          <w:szCs w:val="22"/>
        </w:rPr>
      </w:pPr>
      <w:r w:rsidRPr="00460E0F">
        <w:rPr>
          <w:rFonts w:ascii="Calibri" w:eastAsia="Times New Roman" w:hAnsi="Calibri" w:cs="Calibri"/>
          <w:color w:val="000000"/>
          <w:sz w:val="22"/>
          <w:szCs w:val="22"/>
        </w:rPr>
        <w:t>Please let me know if you have any additional questions.</w:t>
      </w:r>
    </w:p>
    <w:p w14:paraId="10A8D349" w14:textId="77777777" w:rsidR="00460E0F" w:rsidRPr="00460E0F" w:rsidRDefault="00460E0F" w:rsidP="00460E0F">
      <w:pPr>
        <w:rPr>
          <w:rFonts w:ascii="Calibri" w:eastAsia="Times New Roman" w:hAnsi="Calibri" w:cs="Calibri"/>
          <w:color w:val="000000"/>
          <w:sz w:val="22"/>
          <w:szCs w:val="22"/>
        </w:rPr>
      </w:pPr>
      <w:r w:rsidRPr="00460E0F">
        <w:rPr>
          <w:rFonts w:ascii="Calibri" w:eastAsia="Times New Roman" w:hAnsi="Calibri" w:cs="Calibri"/>
          <w:color w:val="000000"/>
          <w:sz w:val="22"/>
          <w:szCs w:val="22"/>
        </w:rPr>
        <w:t>Thanks,</w:t>
      </w:r>
    </w:p>
    <w:p w14:paraId="37BE4334" w14:textId="77777777" w:rsidR="00460E0F" w:rsidRPr="00460E0F" w:rsidRDefault="00460E0F" w:rsidP="00460E0F">
      <w:pPr>
        <w:rPr>
          <w:rFonts w:ascii="Calibri" w:eastAsia="Times New Roman" w:hAnsi="Calibri" w:cs="Calibri"/>
          <w:color w:val="000000"/>
          <w:sz w:val="22"/>
          <w:szCs w:val="22"/>
        </w:rPr>
      </w:pPr>
      <w:r w:rsidRPr="00460E0F">
        <w:rPr>
          <w:rFonts w:ascii="Calibri" w:eastAsia="Times New Roman" w:hAnsi="Calibri" w:cs="Calibri"/>
          <w:color w:val="000000"/>
          <w:sz w:val="22"/>
          <w:szCs w:val="22"/>
        </w:rPr>
        <w:t>Kimberli</w:t>
      </w:r>
    </w:p>
    <w:p w14:paraId="1924F7C3" w14:textId="77777777" w:rsidR="00460E0F" w:rsidRPr="00460E0F" w:rsidRDefault="00460E0F" w:rsidP="00460E0F">
      <w:pPr>
        <w:rPr>
          <w:rFonts w:ascii="Calibri" w:eastAsia="Times New Roman" w:hAnsi="Calibri" w:cs="Calibri"/>
          <w:color w:val="000000"/>
          <w:sz w:val="22"/>
          <w:szCs w:val="22"/>
        </w:rPr>
      </w:pPr>
      <w:r w:rsidRPr="00460E0F">
        <w:rPr>
          <w:rFonts w:ascii="Calibri" w:eastAsia="Times New Roman" w:hAnsi="Calibri" w:cs="Calibri"/>
          <w:color w:val="000000"/>
          <w:sz w:val="22"/>
          <w:szCs w:val="22"/>
        </w:rPr>
        <w:t> </w:t>
      </w:r>
    </w:p>
    <w:p w14:paraId="3A41AD76" w14:textId="77777777" w:rsidR="00460E0F" w:rsidRPr="00460E0F" w:rsidRDefault="00460E0F" w:rsidP="00460E0F">
      <w:pPr>
        <w:rPr>
          <w:rFonts w:ascii="Calibri" w:eastAsia="Times New Roman" w:hAnsi="Calibri" w:cs="Calibri"/>
          <w:color w:val="000000"/>
          <w:sz w:val="22"/>
          <w:szCs w:val="22"/>
        </w:rPr>
      </w:pPr>
      <w:r w:rsidRPr="00460E0F">
        <w:rPr>
          <w:rFonts w:ascii="Calibri" w:eastAsia="Times New Roman" w:hAnsi="Calibri" w:cs="Calibri"/>
          <w:color w:val="000000"/>
          <w:sz w:val="22"/>
          <w:szCs w:val="22"/>
        </w:rPr>
        <w:t>Kimberli Fitzgerald, AICP/RPA</w:t>
      </w:r>
    </w:p>
    <w:p w14:paraId="04A8557F" w14:textId="77777777" w:rsidR="00460E0F" w:rsidRPr="00460E0F" w:rsidRDefault="00460E0F" w:rsidP="00460E0F">
      <w:pPr>
        <w:rPr>
          <w:rFonts w:ascii="Calibri" w:eastAsia="Times New Roman" w:hAnsi="Calibri" w:cs="Calibri"/>
          <w:color w:val="000000"/>
          <w:sz w:val="22"/>
          <w:szCs w:val="22"/>
        </w:rPr>
      </w:pPr>
      <w:r w:rsidRPr="00460E0F">
        <w:rPr>
          <w:rFonts w:ascii="Calibri" w:eastAsia="Times New Roman" w:hAnsi="Calibri" w:cs="Calibri"/>
          <w:b/>
          <w:bCs/>
          <w:i/>
          <w:iCs/>
          <w:color w:val="000000"/>
          <w:sz w:val="22"/>
          <w:szCs w:val="22"/>
        </w:rPr>
        <w:t>Historic Preservation Program Manager</w:t>
      </w:r>
    </w:p>
    <w:p w14:paraId="48E4A381" w14:textId="77777777" w:rsidR="00460E0F" w:rsidRPr="00460E0F" w:rsidRDefault="00460E0F" w:rsidP="00460E0F">
      <w:pPr>
        <w:rPr>
          <w:rFonts w:ascii="Calibri" w:eastAsia="Times New Roman" w:hAnsi="Calibri" w:cs="Calibri"/>
          <w:color w:val="000000"/>
          <w:sz w:val="22"/>
          <w:szCs w:val="22"/>
        </w:rPr>
      </w:pPr>
      <w:r w:rsidRPr="00460E0F">
        <w:rPr>
          <w:rFonts w:ascii="Calibri" w:eastAsia="Times New Roman" w:hAnsi="Calibri" w:cs="Calibri"/>
          <w:b/>
          <w:bCs/>
          <w:i/>
          <w:iCs/>
          <w:color w:val="000000"/>
          <w:sz w:val="22"/>
          <w:szCs w:val="22"/>
        </w:rPr>
        <w:t>Historic Preservation Officer &amp; City Archaeologist</w:t>
      </w:r>
    </w:p>
    <w:p w14:paraId="066178D0" w14:textId="77777777" w:rsidR="00460E0F" w:rsidRPr="00460E0F" w:rsidRDefault="00460E0F" w:rsidP="00460E0F">
      <w:pPr>
        <w:rPr>
          <w:rFonts w:ascii="Calibri" w:eastAsia="Times New Roman" w:hAnsi="Calibri" w:cs="Calibri"/>
          <w:color w:val="000000"/>
          <w:sz w:val="22"/>
          <w:szCs w:val="22"/>
        </w:rPr>
      </w:pPr>
      <w:r w:rsidRPr="00460E0F">
        <w:rPr>
          <w:rFonts w:ascii="Calibri" w:eastAsia="Times New Roman" w:hAnsi="Calibri" w:cs="Calibri"/>
          <w:b/>
          <w:bCs/>
          <w:i/>
          <w:iCs/>
          <w:color w:val="000000"/>
          <w:sz w:val="22"/>
          <w:szCs w:val="22"/>
        </w:rPr>
        <w:t>City of Salem</w:t>
      </w:r>
    </w:p>
    <w:p w14:paraId="64647B15" w14:textId="77777777" w:rsidR="00460E0F" w:rsidRPr="00460E0F" w:rsidRDefault="00214C00" w:rsidP="00460E0F">
      <w:pPr>
        <w:rPr>
          <w:rFonts w:ascii="Calibri" w:eastAsia="Times New Roman" w:hAnsi="Calibri" w:cs="Calibri"/>
          <w:color w:val="000000"/>
          <w:sz w:val="22"/>
          <w:szCs w:val="22"/>
        </w:rPr>
      </w:pPr>
      <w:hyperlink r:id="rId6" w:tgtFrame="_blank" w:history="1">
        <w:r w:rsidR="00460E0F" w:rsidRPr="00460E0F">
          <w:rPr>
            <w:rFonts w:ascii="Calibri" w:eastAsia="Times New Roman" w:hAnsi="Calibri" w:cs="Calibri"/>
            <w:b/>
            <w:bCs/>
            <w:i/>
            <w:iCs/>
            <w:color w:val="0000FF"/>
            <w:sz w:val="22"/>
            <w:szCs w:val="22"/>
            <w:u w:val="single"/>
          </w:rPr>
          <w:t>503 540-2397</w:t>
        </w:r>
      </w:hyperlink>
    </w:p>
    <w:p w14:paraId="273FAE16" w14:textId="77777777" w:rsidR="00E80542" w:rsidRDefault="00E80542" w:rsidP="00C013F3"/>
    <w:p w14:paraId="6439A0C4" w14:textId="77777777" w:rsidR="00460E0F" w:rsidRDefault="00460E0F" w:rsidP="00C013F3">
      <w:pPr>
        <w:rPr>
          <w:b/>
          <w:bCs/>
          <w:u w:val="single"/>
        </w:rPr>
      </w:pPr>
    </w:p>
    <w:p w14:paraId="5A22CDB4" w14:textId="77777777" w:rsidR="00460E0F" w:rsidRDefault="00460E0F" w:rsidP="00C013F3">
      <w:pPr>
        <w:rPr>
          <w:b/>
          <w:bCs/>
          <w:u w:val="single"/>
        </w:rPr>
      </w:pPr>
    </w:p>
    <w:p w14:paraId="4AAB0F31" w14:textId="77777777" w:rsidR="00460E0F" w:rsidRDefault="00460E0F" w:rsidP="00C013F3">
      <w:pPr>
        <w:rPr>
          <w:b/>
          <w:bCs/>
          <w:u w:val="single"/>
        </w:rPr>
      </w:pPr>
    </w:p>
    <w:p w14:paraId="28DE95DC" w14:textId="77777777" w:rsidR="00460E0F" w:rsidRDefault="00460E0F" w:rsidP="00C013F3">
      <w:pPr>
        <w:rPr>
          <w:b/>
          <w:bCs/>
          <w:u w:val="single"/>
        </w:rPr>
      </w:pPr>
    </w:p>
    <w:p w14:paraId="5909E904" w14:textId="77777777" w:rsidR="00460E0F" w:rsidRDefault="00460E0F" w:rsidP="00C013F3">
      <w:pPr>
        <w:rPr>
          <w:b/>
          <w:bCs/>
          <w:u w:val="single"/>
        </w:rPr>
      </w:pPr>
    </w:p>
    <w:p w14:paraId="024F1F17" w14:textId="77777777" w:rsidR="00460E0F" w:rsidRDefault="00460E0F" w:rsidP="00C013F3">
      <w:pPr>
        <w:rPr>
          <w:b/>
          <w:bCs/>
          <w:u w:val="single"/>
        </w:rPr>
      </w:pPr>
    </w:p>
    <w:p w14:paraId="30008B43" w14:textId="77777777" w:rsidR="00460E0F" w:rsidRDefault="00460E0F" w:rsidP="00C013F3">
      <w:pPr>
        <w:rPr>
          <w:b/>
          <w:bCs/>
          <w:u w:val="single"/>
        </w:rPr>
      </w:pPr>
    </w:p>
    <w:p w14:paraId="22D01E54" w14:textId="77777777" w:rsidR="00460E0F" w:rsidRDefault="00460E0F" w:rsidP="00C013F3">
      <w:pPr>
        <w:rPr>
          <w:b/>
          <w:bCs/>
          <w:u w:val="single"/>
        </w:rPr>
      </w:pPr>
    </w:p>
    <w:p w14:paraId="121F10F0" w14:textId="77777777" w:rsidR="00460E0F" w:rsidRDefault="00460E0F" w:rsidP="00C013F3">
      <w:pPr>
        <w:rPr>
          <w:b/>
          <w:bCs/>
          <w:u w:val="single"/>
        </w:rPr>
      </w:pPr>
    </w:p>
    <w:p w14:paraId="520C51D9" w14:textId="77777777" w:rsidR="00460E0F" w:rsidRDefault="00460E0F" w:rsidP="00C013F3">
      <w:pPr>
        <w:rPr>
          <w:b/>
          <w:bCs/>
          <w:u w:val="single"/>
        </w:rPr>
      </w:pPr>
    </w:p>
    <w:p w14:paraId="37746031" w14:textId="77777777" w:rsidR="00530796" w:rsidRDefault="00530796" w:rsidP="00C013F3">
      <w:pPr>
        <w:rPr>
          <w:b/>
          <w:bCs/>
          <w:u w:val="single"/>
        </w:rPr>
      </w:pPr>
    </w:p>
    <w:p w14:paraId="01E1A1B7" w14:textId="77777777" w:rsidR="00530796" w:rsidRDefault="00530796" w:rsidP="00C013F3">
      <w:pPr>
        <w:rPr>
          <w:b/>
          <w:bCs/>
          <w:u w:val="single"/>
        </w:rPr>
      </w:pPr>
    </w:p>
    <w:p w14:paraId="1CC1B965" w14:textId="77777777" w:rsidR="00530796" w:rsidRDefault="00530796" w:rsidP="00C013F3">
      <w:pPr>
        <w:rPr>
          <w:b/>
          <w:bCs/>
          <w:u w:val="single"/>
        </w:rPr>
      </w:pPr>
    </w:p>
    <w:p w14:paraId="36304778" w14:textId="77777777" w:rsidR="00530796" w:rsidRDefault="00530796" w:rsidP="00C013F3">
      <w:pPr>
        <w:rPr>
          <w:b/>
          <w:bCs/>
          <w:u w:val="single"/>
        </w:rPr>
      </w:pPr>
    </w:p>
    <w:p w14:paraId="2E258355" w14:textId="77777777" w:rsidR="00530796" w:rsidRDefault="00530796" w:rsidP="00C013F3">
      <w:pPr>
        <w:rPr>
          <w:b/>
          <w:bCs/>
          <w:u w:val="single"/>
        </w:rPr>
      </w:pPr>
    </w:p>
    <w:p w14:paraId="4CE19F4A" w14:textId="77777777" w:rsidR="00352777" w:rsidRDefault="00352777" w:rsidP="00C013F3">
      <w:pPr>
        <w:rPr>
          <w:b/>
          <w:bCs/>
          <w:u w:val="single"/>
        </w:rPr>
      </w:pPr>
    </w:p>
    <w:p w14:paraId="0EE44A53" w14:textId="77777777" w:rsidR="00352777" w:rsidRDefault="00352777" w:rsidP="00C013F3">
      <w:pPr>
        <w:rPr>
          <w:b/>
          <w:bCs/>
          <w:u w:val="single"/>
        </w:rPr>
      </w:pPr>
    </w:p>
    <w:p w14:paraId="22050FE5" w14:textId="77777777" w:rsidR="00352777" w:rsidRDefault="00352777" w:rsidP="00C013F3">
      <w:pPr>
        <w:rPr>
          <w:b/>
          <w:bCs/>
          <w:u w:val="single"/>
        </w:rPr>
      </w:pPr>
    </w:p>
    <w:p w14:paraId="2997D974" w14:textId="77777777" w:rsidR="00214C00" w:rsidRDefault="00214C00" w:rsidP="00C013F3">
      <w:pPr>
        <w:rPr>
          <w:b/>
          <w:bCs/>
          <w:u w:val="single"/>
        </w:rPr>
      </w:pPr>
    </w:p>
    <w:p w14:paraId="1AA392C6" w14:textId="77777777" w:rsidR="00214C00" w:rsidRDefault="00214C00" w:rsidP="00C013F3">
      <w:pPr>
        <w:rPr>
          <w:b/>
          <w:bCs/>
          <w:u w:val="single"/>
        </w:rPr>
      </w:pPr>
    </w:p>
    <w:p w14:paraId="308B246A" w14:textId="417E0571" w:rsidR="00F82654" w:rsidRPr="00E80542" w:rsidRDefault="00F82654" w:rsidP="00C013F3">
      <w:r w:rsidRPr="00F82654">
        <w:rPr>
          <w:b/>
          <w:bCs/>
          <w:u w:val="single"/>
        </w:rPr>
        <w:lastRenderedPageBreak/>
        <w:t>Multiple Family Design Standards (SRC 702.015)</w:t>
      </w:r>
    </w:p>
    <w:p w14:paraId="68E9BFC3" w14:textId="6A6E8749" w:rsidR="00876AB1" w:rsidRDefault="00876AB1" w:rsidP="00C013F3"/>
    <w:p w14:paraId="64BF6717" w14:textId="299700D7" w:rsidR="00C2189D" w:rsidRDefault="00F82654" w:rsidP="00C2189D">
      <w:r w:rsidRPr="00A141E1">
        <w:rPr>
          <w:b/>
          <w:bCs/>
        </w:rPr>
        <w:t>Common Open Space</w:t>
      </w:r>
      <w:r w:rsidR="009234EC">
        <w:rPr>
          <w:b/>
          <w:bCs/>
        </w:rPr>
        <w:t xml:space="preserve">: </w:t>
      </w:r>
      <w:r>
        <w:t xml:space="preserve"> </w:t>
      </w:r>
      <w:r w:rsidR="009234EC">
        <w:t xml:space="preserve">The project will </w:t>
      </w:r>
      <w:r w:rsidR="00214C00">
        <w:t xml:space="preserve">far </w:t>
      </w:r>
      <w:r w:rsidR="009234EC">
        <w:t xml:space="preserve">exceed the </w:t>
      </w:r>
      <w:r>
        <w:t xml:space="preserve">20 percent of the gross site area </w:t>
      </w:r>
      <w:r w:rsidR="009234EC">
        <w:t>(16,995 SF x 20% = 3,399 SF)</w:t>
      </w:r>
      <w:r>
        <w:t xml:space="preserve">.  </w:t>
      </w:r>
      <w:r w:rsidR="00A141E1">
        <w:t xml:space="preserve">The proposed Common Open Space is in compliance with the RM-II zone.  </w:t>
      </w:r>
    </w:p>
    <w:p w14:paraId="00719872" w14:textId="3DACC381" w:rsidR="009234EC" w:rsidRDefault="009234EC" w:rsidP="00C2189D">
      <w:pPr>
        <w:rPr>
          <w:b/>
          <w:bCs/>
          <w:u w:val="single"/>
        </w:rPr>
      </w:pPr>
    </w:p>
    <w:p w14:paraId="27D50541" w14:textId="77777777" w:rsidR="00460E0F" w:rsidRDefault="00460E0F" w:rsidP="00C2189D">
      <w:pPr>
        <w:rPr>
          <w:b/>
          <w:bCs/>
          <w:u w:val="single"/>
        </w:rPr>
      </w:pPr>
    </w:p>
    <w:p w14:paraId="1E9AE352" w14:textId="20F20D55" w:rsidR="0005635F" w:rsidRDefault="00C2189D" w:rsidP="00C2189D">
      <w:r w:rsidRPr="00C2189D">
        <w:rPr>
          <w:b/>
          <w:bCs/>
        </w:rPr>
        <w:t>Landscaping and Screening</w:t>
      </w:r>
      <w:r>
        <w:rPr>
          <w:b/>
          <w:bCs/>
        </w:rPr>
        <w:t xml:space="preserve"> </w:t>
      </w:r>
      <w:r>
        <w:t>the building permit application for the development will include Landscape and Screening to be in compliance with the RM-II zone.</w:t>
      </w:r>
    </w:p>
    <w:p w14:paraId="00F6270A" w14:textId="32375CD7" w:rsidR="009234EC" w:rsidRDefault="009234EC" w:rsidP="00C2189D"/>
    <w:p w14:paraId="10F16FDC" w14:textId="77777777" w:rsidR="00460E0F" w:rsidRDefault="00460E0F" w:rsidP="00C2189D"/>
    <w:p w14:paraId="1C8302EE" w14:textId="76405F74" w:rsidR="00C2189D" w:rsidRPr="0005635F" w:rsidRDefault="00C2189D" w:rsidP="00C2189D">
      <w:r w:rsidRPr="00053AD5">
        <w:rPr>
          <w:b/>
          <w:bCs/>
        </w:rPr>
        <w:t>Site Safety and Security</w:t>
      </w:r>
      <w:r>
        <w:t xml:space="preserve"> the windows </w:t>
      </w:r>
      <w:r w:rsidR="00053AD5">
        <w:t xml:space="preserve">provide and encourage visual surveillance of the common open space, parking areas and pedestrian paths.  The lighting illuminates all exterior dwelling unit entrances, parking areas, and pedestrian paths. </w:t>
      </w:r>
    </w:p>
    <w:p w14:paraId="29412FCF" w14:textId="195D16E7" w:rsidR="00F82654" w:rsidRDefault="00F82654" w:rsidP="00C013F3"/>
    <w:p w14:paraId="23445670" w14:textId="77777777" w:rsidR="00460E0F" w:rsidRDefault="00460E0F" w:rsidP="00C013F3"/>
    <w:p w14:paraId="381A40AF" w14:textId="025DEC27" w:rsidR="00412D4E" w:rsidRDefault="00A141E1" w:rsidP="00C013F3">
      <w:r w:rsidRPr="00A141E1">
        <w:rPr>
          <w:b/>
          <w:bCs/>
        </w:rPr>
        <w:t xml:space="preserve">Parking and Site </w:t>
      </w:r>
      <w:r w:rsidR="00C2189D">
        <w:rPr>
          <w:b/>
          <w:bCs/>
        </w:rPr>
        <w:t xml:space="preserve">Design </w:t>
      </w:r>
      <w:r w:rsidR="00C2189D">
        <w:t>minimizes the visual impact of the onsite parking and enhances the pedestrian experience. The</w:t>
      </w:r>
      <w:r>
        <w:t xml:space="preserve"> pathways provide connection between the building</w:t>
      </w:r>
      <w:r w:rsidR="00352777">
        <w:t>s</w:t>
      </w:r>
      <w:r>
        <w:t xml:space="preserve">, common open space, parking areas, public </w:t>
      </w:r>
      <w:r w:rsidR="009234EC">
        <w:t>right of way on Salem Heights Ave SE</w:t>
      </w:r>
      <w:r w:rsidR="00352777">
        <w:t xml:space="preserve"> &amp; along Crawford St SE</w:t>
      </w:r>
      <w:r w:rsidR="009234EC">
        <w:t>.</w:t>
      </w:r>
      <w:r w:rsidR="00352777">
        <w:t xml:space="preserve">  </w:t>
      </w:r>
    </w:p>
    <w:p w14:paraId="064366D7" w14:textId="0FB4DB36" w:rsidR="009234EC" w:rsidRDefault="009234EC" w:rsidP="00C013F3"/>
    <w:p w14:paraId="284A55E6" w14:textId="77777777" w:rsidR="00460E0F" w:rsidRDefault="00460E0F" w:rsidP="00C013F3"/>
    <w:p w14:paraId="6AE90DCF" w14:textId="3F1B9EEC" w:rsidR="009234EC" w:rsidRDefault="009234EC" w:rsidP="00C013F3">
      <w:r w:rsidRPr="00E80542">
        <w:rPr>
          <w:b/>
          <w:bCs/>
        </w:rPr>
        <w:t>Fa</w:t>
      </w:r>
      <w:r w:rsidR="00E80542" w:rsidRPr="00E80542">
        <w:rPr>
          <w:b/>
          <w:bCs/>
        </w:rPr>
        <w:t>c</w:t>
      </w:r>
      <w:r w:rsidRPr="00E80542">
        <w:rPr>
          <w:b/>
          <w:bCs/>
        </w:rPr>
        <w:t>ade and Building Design:</w:t>
      </w:r>
      <w:r>
        <w:t xml:space="preserve"> </w:t>
      </w:r>
      <w:r w:rsidR="00E80542">
        <w:t>The project is in compliance with the RM-II zone.</w:t>
      </w:r>
    </w:p>
    <w:p w14:paraId="23907268" w14:textId="46CE23A2" w:rsidR="00053AD5" w:rsidRDefault="00053AD5" w:rsidP="00C013F3"/>
    <w:p w14:paraId="6D39D7D7" w14:textId="77777777" w:rsidR="00460E0F" w:rsidRDefault="00460E0F" w:rsidP="00C013F3"/>
    <w:p w14:paraId="1DC5D8FB" w14:textId="20F9F98B" w:rsidR="00A141E1" w:rsidRDefault="00A141E1" w:rsidP="00C013F3">
      <w:r w:rsidRPr="00C2189D">
        <w:rPr>
          <w:b/>
          <w:bCs/>
        </w:rPr>
        <w:t>Recycling and Solid Waste</w:t>
      </w:r>
      <w:r>
        <w:t xml:space="preserve"> </w:t>
      </w:r>
      <w:r w:rsidR="00C2189D">
        <w:t>is in compliance with the RM-II zone.</w:t>
      </w:r>
    </w:p>
    <w:p w14:paraId="30E709C9" w14:textId="5F1A32B6" w:rsidR="009F76F1" w:rsidRDefault="009F76F1" w:rsidP="00C013F3"/>
    <w:p w14:paraId="0B1867A2" w14:textId="77777777" w:rsidR="00460E0F" w:rsidRDefault="00460E0F" w:rsidP="00C013F3"/>
    <w:p w14:paraId="6F7EE366" w14:textId="09B6D158" w:rsidR="00412D4E" w:rsidRDefault="009F76F1" w:rsidP="00C013F3">
      <w:r w:rsidRPr="009F76F1">
        <w:rPr>
          <w:b/>
          <w:bCs/>
        </w:rPr>
        <w:t>Natural Resources</w:t>
      </w:r>
      <w:r>
        <w:t xml:space="preserve"> No trees will be removed.  There are no wetlands as per the Salem-Keizer Local Wetland Inventory. There are no landslide hazards as per the City of Salem’s landslide hazard susceptibility maps &amp; a geological assessment is not required for this site.</w:t>
      </w:r>
    </w:p>
    <w:p w14:paraId="4589BFE3" w14:textId="509333AB" w:rsidR="00107347" w:rsidRDefault="00107347" w:rsidP="00C013F3"/>
    <w:p w14:paraId="171B6D39" w14:textId="1239E439" w:rsidR="00107347" w:rsidRDefault="00107347" w:rsidP="00C013F3"/>
    <w:p w14:paraId="57D85C30" w14:textId="6422CDC4" w:rsidR="00107347" w:rsidRPr="00107347" w:rsidRDefault="00107347" w:rsidP="00107347">
      <w:pPr>
        <w:rPr>
          <w:rFonts w:ascii="Times New Roman" w:eastAsia="Times New Roman" w:hAnsi="Times New Roman" w:cs="Times New Roman"/>
        </w:rPr>
      </w:pPr>
      <w:r w:rsidRPr="00107347">
        <w:rPr>
          <w:rFonts w:ascii="Calibri" w:eastAsia="Times New Roman" w:hAnsi="Calibri" w:cs="Calibri"/>
          <w:b/>
          <w:bCs/>
          <w:color w:val="000000"/>
          <w:sz w:val="22"/>
          <w:szCs w:val="22"/>
        </w:rPr>
        <w:t>Alternative Street Standard SRC 803.065</w:t>
      </w:r>
      <w:r w:rsidRPr="00107347">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The applicant is requesting an Alternative Street Standard for Crawford St SE to be used in its current state as a 20’ paved surface with a 20’ public right of way.  The applicant proposes a pedestrian path along the east side of Crawford (as per the Site Plan).  Applicants Engineer has had communication with the City of Salem Planning Director &amp; Public </w:t>
      </w:r>
      <w:proofErr w:type="gramStart"/>
      <w:r>
        <w:rPr>
          <w:rFonts w:ascii="Calibri" w:eastAsia="Times New Roman" w:hAnsi="Calibri" w:cs="Calibri"/>
          <w:color w:val="000000"/>
          <w:sz w:val="22"/>
          <w:szCs w:val="22"/>
        </w:rPr>
        <w:t>Works</w:t>
      </w:r>
      <w:proofErr w:type="gramEnd"/>
      <w:r>
        <w:rPr>
          <w:rFonts w:ascii="Calibri" w:eastAsia="Times New Roman" w:hAnsi="Calibri" w:cs="Calibri"/>
          <w:color w:val="000000"/>
          <w:sz w:val="22"/>
          <w:szCs w:val="22"/>
        </w:rPr>
        <w:t xml:space="preserve"> </w:t>
      </w:r>
      <w:r w:rsidR="00214C00">
        <w:rPr>
          <w:rFonts w:ascii="Calibri" w:eastAsia="Times New Roman" w:hAnsi="Calibri" w:cs="Calibri"/>
          <w:color w:val="000000"/>
          <w:sz w:val="22"/>
          <w:szCs w:val="22"/>
        </w:rPr>
        <w:t xml:space="preserve">and </w:t>
      </w:r>
      <w:r>
        <w:rPr>
          <w:rFonts w:ascii="Calibri" w:eastAsia="Times New Roman" w:hAnsi="Calibri" w:cs="Calibri"/>
          <w:color w:val="000000"/>
          <w:sz w:val="22"/>
          <w:szCs w:val="22"/>
        </w:rPr>
        <w:t xml:space="preserve">they are in agreement to approve an Alternative Street Standard on Crawford St SE with the condition of a pedestrian path along the east side of Crawford (as per the Site Plan).  </w:t>
      </w:r>
    </w:p>
    <w:p w14:paraId="51F5213E" w14:textId="44092CC0" w:rsidR="00107347" w:rsidRDefault="00107347" w:rsidP="00C013F3"/>
    <w:p w14:paraId="582C2A2C" w14:textId="77777777" w:rsidR="00107347" w:rsidRDefault="00107347" w:rsidP="00107347">
      <w:pPr>
        <w:pStyle w:val="Section"/>
        <w:ind w:left="0" w:firstLine="0"/>
        <w:rPr>
          <w:szCs w:val="24"/>
        </w:rPr>
      </w:pPr>
    </w:p>
    <w:p w14:paraId="060AADAF" w14:textId="77777777" w:rsidR="00214C00" w:rsidRDefault="00214C00" w:rsidP="00107347">
      <w:pPr>
        <w:pStyle w:val="Section"/>
        <w:ind w:left="0" w:firstLine="0"/>
        <w:rPr>
          <w:szCs w:val="24"/>
        </w:rPr>
      </w:pPr>
    </w:p>
    <w:p w14:paraId="4056BD35" w14:textId="263CD02A" w:rsidR="00107347" w:rsidRPr="00DC1997" w:rsidRDefault="00107347" w:rsidP="00107347">
      <w:pPr>
        <w:pStyle w:val="Section"/>
        <w:ind w:left="0" w:firstLine="0"/>
        <w:rPr>
          <w:szCs w:val="24"/>
        </w:rPr>
      </w:pPr>
      <w:r w:rsidRPr="00DC1997">
        <w:rPr>
          <w:szCs w:val="24"/>
        </w:rPr>
        <w:t xml:space="preserve">ATTACHMENT: SRC Chapter 250 Adjustments </w:t>
      </w:r>
    </w:p>
    <w:p w14:paraId="5AA582B4" w14:textId="77777777" w:rsidR="00107347" w:rsidRPr="00DC1997" w:rsidRDefault="00107347" w:rsidP="00107347">
      <w:pPr>
        <w:pStyle w:val="Section"/>
        <w:rPr>
          <w:color w:val="0070C0"/>
          <w:szCs w:val="24"/>
        </w:rPr>
      </w:pPr>
      <w:r w:rsidRPr="00DC1997">
        <w:rPr>
          <w:color w:val="0070C0"/>
          <w:szCs w:val="24"/>
        </w:rPr>
        <w:t>Sec. 250.005. Adjustments.</w:t>
      </w:r>
    </w:p>
    <w:p w14:paraId="1A94152D" w14:textId="77777777" w:rsidR="00107347" w:rsidRPr="00DC1997" w:rsidRDefault="00107347" w:rsidP="00107347">
      <w:pPr>
        <w:pStyle w:val="List1"/>
        <w:rPr>
          <w:color w:val="0070C0"/>
          <w:sz w:val="24"/>
        </w:rPr>
      </w:pPr>
      <w:r w:rsidRPr="00DC1997">
        <w:rPr>
          <w:color w:val="0070C0"/>
          <w:sz w:val="24"/>
        </w:rPr>
        <w:t>(a)</w:t>
      </w:r>
      <w:r w:rsidRPr="00DC1997">
        <w:rPr>
          <w:color w:val="0070C0"/>
          <w:sz w:val="24"/>
        </w:rPr>
        <w:tab/>
      </w:r>
      <w:r w:rsidRPr="00DC1997">
        <w:rPr>
          <w:i/>
          <w:color w:val="0070C0"/>
          <w:sz w:val="24"/>
        </w:rPr>
        <w:t>Applicability.</w:t>
      </w:r>
    </w:p>
    <w:p w14:paraId="3DFD1466" w14:textId="77777777" w:rsidR="00107347" w:rsidRPr="00DC1997" w:rsidRDefault="00107347" w:rsidP="00107347">
      <w:pPr>
        <w:pStyle w:val="List2"/>
        <w:rPr>
          <w:color w:val="0070C0"/>
          <w:sz w:val="24"/>
        </w:rPr>
      </w:pPr>
      <w:r w:rsidRPr="00DC1997">
        <w:rPr>
          <w:color w:val="0070C0"/>
          <w:sz w:val="24"/>
        </w:rPr>
        <w:t>(1)</w:t>
      </w:r>
      <w:r w:rsidRPr="00DC1997">
        <w:rPr>
          <w:color w:val="0070C0"/>
          <w:sz w:val="24"/>
        </w:rPr>
        <w:tab/>
      </w:r>
      <w:r w:rsidRPr="00DC1997">
        <w:rPr>
          <w:i/>
          <w:color w:val="0070C0"/>
          <w:sz w:val="24"/>
        </w:rPr>
        <w:t>Classes.</w:t>
      </w:r>
    </w:p>
    <w:p w14:paraId="3104579C" w14:textId="77777777" w:rsidR="00107347" w:rsidRPr="00DC1997" w:rsidRDefault="00107347" w:rsidP="00107347">
      <w:pPr>
        <w:pStyle w:val="List3"/>
        <w:rPr>
          <w:color w:val="0070C0"/>
          <w:sz w:val="24"/>
        </w:rPr>
      </w:pPr>
      <w:r w:rsidRPr="00DC1997">
        <w:rPr>
          <w:color w:val="0070C0"/>
          <w:sz w:val="24"/>
        </w:rPr>
        <w:t>(A)</w:t>
      </w:r>
      <w:r w:rsidRPr="00DC1997">
        <w:rPr>
          <w:color w:val="0070C0"/>
          <w:sz w:val="24"/>
        </w:rPr>
        <w:tab/>
        <w:t xml:space="preserve">A Class 1 adjustment is an adjustment to any numerical development standard in the UDC that increases or decreases the standard by not more than 20 percent. </w:t>
      </w:r>
    </w:p>
    <w:p w14:paraId="0EA1CB40" w14:textId="77777777" w:rsidR="00107347" w:rsidRDefault="00107347" w:rsidP="00107347">
      <w:pPr>
        <w:pStyle w:val="List3"/>
        <w:rPr>
          <w:color w:val="0070C0"/>
          <w:sz w:val="24"/>
        </w:rPr>
      </w:pPr>
      <w:r w:rsidRPr="00DC1997">
        <w:rPr>
          <w:color w:val="0070C0"/>
          <w:sz w:val="24"/>
        </w:rPr>
        <w:t>(B)</w:t>
      </w:r>
      <w:r w:rsidRPr="00DC1997">
        <w:rPr>
          <w:color w:val="0070C0"/>
          <w:sz w:val="24"/>
        </w:rPr>
        <w:tab/>
        <w:t xml:space="preserve">A Class 2 adjustment is an adjustment to any development standard in the UDC other than a Class 1 adjustment, including an adjustment to any numerical development standard in the UDC that increases or decreases the standard by more than 20 percent. </w:t>
      </w:r>
    </w:p>
    <w:p w14:paraId="6FFF05FA" w14:textId="77777777" w:rsidR="00107347" w:rsidRPr="00DC1997" w:rsidRDefault="00107347" w:rsidP="00107347">
      <w:pPr>
        <w:pStyle w:val="List3"/>
        <w:rPr>
          <w:color w:val="0070C0"/>
          <w:sz w:val="24"/>
        </w:rPr>
      </w:pPr>
    </w:p>
    <w:p w14:paraId="25953CB6" w14:textId="77D31519" w:rsidR="00107347" w:rsidRDefault="00107347" w:rsidP="00107347">
      <w:r w:rsidRPr="00DC1997">
        <w:rPr>
          <w:b/>
          <w:bCs/>
          <w:u w:val="single"/>
        </w:rPr>
        <w:t>Response:</w:t>
      </w:r>
      <w:r w:rsidRPr="00DC1997">
        <w:tab/>
        <w:t xml:space="preserve">The project will have </w:t>
      </w:r>
      <w:r>
        <w:t>one</w:t>
      </w:r>
      <w:r w:rsidRPr="00DC1997">
        <w:t xml:space="preserve"> Class 1 adjustment and </w:t>
      </w:r>
      <w:r>
        <w:t>one</w:t>
      </w:r>
      <w:r w:rsidRPr="00DC1997">
        <w:t xml:space="preserve"> Class 2 adjustment</w:t>
      </w:r>
      <w:r>
        <w:t xml:space="preserve"> </w:t>
      </w:r>
      <w:r w:rsidRPr="00DC1997">
        <w:t>for this project.  The Class 2 adjustment require</w:t>
      </w:r>
      <w:r>
        <w:t>s</w:t>
      </w:r>
      <w:r w:rsidRPr="00DC1997">
        <w:t xml:space="preserve"> reducing the applicable standard by more than 20%. Therefore, th</w:t>
      </w:r>
      <w:r>
        <w:t>e</w:t>
      </w:r>
      <w:r w:rsidRPr="00DC1997">
        <w:t xml:space="preserve"> Class 2 adjustment </w:t>
      </w:r>
      <w:r>
        <w:t xml:space="preserve">is </w:t>
      </w:r>
      <w:r w:rsidRPr="00DC1997">
        <w:t>necessary and included in this application.</w:t>
      </w:r>
    </w:p>
    <w:p w14:paraId="6946D361" w14:textId="77777777" w:rsidR="00107347" w:rsidRPr="00DC1997" w:rsidRDefault="00107347" w:rsidP="00107347"/>
    <w:p w14:paraId="5D281218" w14:textId="77777777" w:rsidR="00107347" w:rsidRPr="00DC1997" w:rsidRDefault="00107347" w:rsidP="00107347"/>
    <w:p w14:paraId="654B0519" w14:textId="1109210C" w:rsidR="00107347" w:rsidRPr="00DC1997" w:rsidRDefault="00107347" w:rsidP="00107347">
      <w:pPr>
        <w:pStyle w:val="ListParagraph"/>
        <w:numPr>
          <w:ilvl w:val="0"/>
          <w:numId w:val="3"/>
        </w:numPr>
        <w:rPr>
          <w:rFonts w:ascii="Calibri" w:eastAsia="Times New Roman" w:hAnsi="Calibri" w:cs="Calibri"/>
        </w:rPr>
      </w:pPr>
      <w:r>
        <w:rPr>
          <w:rFonts w:ascii="Calibri" w:eastAsia="Times New Roman" w:hAnsi="Calibri" w:cs="Calibri"/>
          <w:b/>
          <w:bCs/>
          <w:color w:val="000000"/>
          <w:shd w:val="clear" w:color="auto" w:fill="FFFFFF"/>
        </w:rPr>
        <w:t xml:space="preserve">Additional Parking: </w:t>
      </w:r>
      <w:r w:rsidRPr="00DC1997">
        <w:rPr>
          <w:rFonts w:ascii="Calibri" w:eastAsia="Times New Roman" w:hAnsi="Calibri" w:cs="Calibri"/>
          <w:color w:val="000000"/>
        </w:rPr>
        <w:t xml:space="preserve">This Class 1 adjustment </w:t>
      </w:r>
      <w:r>
        <w:rPr>
          <w:rFonts w:ascii="Calibri" w:eastAsia="Times New Roman" w:hAnsi="Calibri" w:cs="Calibri"/>
          <w:color w:val="000000"/>
        </w:rPr>
        <w:t>will allow for 2 additional compact parking spaces that will help provide relief for the lack of on street parking and will address the neighbors’ concerns with the lack of parking.  This request</w:t>
      </w:r>
      <w:r w:rsidRPr="00DC1997">
        <w:rPr>
          <w:rFonts w:ascii="Calibri" w:eastAsia="Times New Roman" w:hAnsi="Calibri" w:cs="Calibri"/>
          <w:color w:val="000000"/>
        </w:rPr>
        <w:t xml:space="preserve"> will not unreasonably impact the surrounding, existing, potential uses or development.</w:t>
      </w:r>
    </w:p>
    <w:p w14:paraId="0A0F7CE2" w14:textId="77777777" w:rsidR="00107347" w:rsidRPr="00DC1997" w:rsidRDefault="00107347" w:rsidP="00107347">
      <w:pPr>
        <w:pStyle w:val="ListParagraph"/>
        <w:rPr>
          <w:rFonts w:ascii="Calibri" w:eastAsia="Times New Roman" w:hAnsi="Calibri" w:cs="Calibri"/>
        </w:rPr>
      </w:pPr>
    </w:p>
    <w:p w14:paraId="68820771" w14:textId="77777777" w:rsidR="00107347" w:rsidRPr="00DC1997" w:rsidRDefault="00107347" w:rsidP="00107347">
      <w:pPr>
        <w:pStyle w:val="ListParagraph"/>
        <w:rPr>
          <w:rFonts w:ascii="Calibri" w:eastAsia="Times New Roman" w:hAnsi="Calibri" w:cs="Calibri"/>
        </w:rPr>
      </w:pPr>
    </w:p>
    <w:p w14:paraId="5F647741" w14:textId="5C3D2D9E" w:rsidR="00107347" w:rsidRPr="00DC1997" w:rsidRDefault="00107347" w:rsidP="00107347">
      <w:pPr>
        <w:pStyle w:val="ListParagraph"/>
        <w:numPr>
          <w:ilvl w:val="0"/>
          <w:numId w:val="3"/>
        </w:numPr>
        <w:rPr>
          <w:rFonts w:ascii="Calibri" w:eastAsia="Times New Roman" w:hAnsi="Calibri" w:cs="Calibri"/>
        </w:rPr>
      </w:pPr>
      <w:r>
        <w:rPr>
          <w:rFonts w:ascii="Calibri" w:hAnsi="Calibri" w:cs="Calibri"/>
          <w:b/>
          <w:bCs/>
        </w:rPr>
        <w:t>Ea</w:t>
      </w:r>
      <w:r w:rsidRPr="00DC1997">
        <w:rPr>
          <w:rFonts w:ascii="Calibri" w:hAnsi="Calibri" w:cs="Calibri"/>
          <w:b/>
          <w:bCs/>
        </w:rPr>
        <w:t>st Property Line Interior Side (Vehicle Use Area)</w:t>
      </w:r>
      <w:r w:rsidRPr="00DC1997">
        <w:rPr>
          <w:rFonts w:ascii="Calibri" w:eastAsia="Times New Roman" w:hAnsi="Calibri" w:cs="Calibri"/>
          <w:color w:val="000000"/>
        </w:rPr>
        <w:t xml:space="preserve"> (SRC 806.040(d))</w:t>
      </w:r>
      <w:r w:rsidRPr="00DC1997">
        <w:rPr>
          <w:rFonts w:ascii="Calibri" w:eastAsia="Times New Roman" w:hAnsi="Calibri" w:cs="Calibri"/>
          <w:color w:val="000000"/>
          <w:shd w:val="clear" w:color="auto" w:fill="FFFFFF"/>
        </w:rPr>
        <w:t xml:space="preserve">: </w:t>
      </w:r>
      <w:r w:rsidRPr="00DC1997">
        <w:rPr>
          <w:rFonts w:ascii="Calibri" w:hAnsi="Calibri" w:cs="Calibri"/>
        </w:rPr>
        <w:t xml:space="preserve">we request a </w:t>
      </w:r>
      <w:r w:rsidRPr="00DC1997">
        <w:rPr>
          <w:rFonts w:ascii="Calibri" w:hAnsi="Calibri" w:cs="Calibri"/>
          <w:b/>
          <w:bCs/>
        </w:rPr>
        <w:t>Class 2 adjustment</w:t>
      </w:r>
      <w:r w:rsidRPr="00DC1997">
        <w:rPr>
          <w:rFonts w:ascii="Calibri" w:hAnsi="Calibri" w:cs="Calibri"/>
        </w:rPr>
        <w:t xml:space="preserve"> </w:t>
      </w:r>
      <w:r w:rsidRPr="00DC1997">
        <w:rPr>
          <w:rFonts w:ascii="Calibri" w:eastAsia="Times New Roman" w:hAnsi="Calibri" w:cs="Calibri"/>
          <w:color w:val="000000"/>
          <w:shd w:val="clear" w:color="auto" w:fill="FFFFFF"/>
        </w:rPr>
        <w:t xml:space="preserve">reducing the </w:t>
      </w:r>
      <w:r>
        <w:rPr>
          <w:rFonts w:ascii="Calibri" w:eastAsia="Times New Roman" w:hAnsi="Calibri" w:cs="Calibri"/>
          <w:color w:val="000000"/>
          <w:shd w:val="clear" w:color="auto" w:fill="FFFFFF"/>
        </w:rPr>
        <w:t xml:space="preserve">landscaping </w:t>
      </w:r>
      <w:r w:rsidRPr="00DC1997">
        <w:rPr>
          <w:rFonts w:ascii="Calibri" w:eastAsia="Times New Roman" w:hAnsi="Calibri" w:cs="Calibri"/>
          <w:color w:val="000000"/>
          <w:shd w:val="clear" w:color="auto" w:fill="FFFFFF"/>
        </w:rPr>
        <w:t xml:space="preserve">setback from 10’ to </w:t>
      </w:r>
      <w:r>
        <w:rPr>
          <w:rFonts w:ascii="Calibri" w:eastAsia="Times New Roman" w:hAnsi="Calibri" w:cs="Calibri"/>
          <w:color w:val="000000"/>
          <w:shd w:val="clear" w:color="auto" w:fill="FFFFFF"/>
        </w:rPr>
        <w:t>6</w:t>
      </w:r>
      <w:r w:rsidRPr="00DC1997">
        <w:rPr>
          <w:rFonts w:ascii="Calibri" w:eastAsia="Times New Roman" w:hAnsi="Calibri" w:cs="Calibri"/>
          <w:color w:val="000000"/>
          <w:shd w:val="clear" w:color="auto" w:fill="FFFFFF"/>
        </w:rPr>
        <w:t xml:space="preserve">’ along the </w:t>
      </w:r>
      <w:r>
        <w:rPr>
          <w:rFonts w:ascii="Calibri" w:eastAsia="Times New Roman" w:hAnsi="Calibri" w:cs="Calibri"/>
          <w:color w:val="000000"/>
          <w:shd w:val="clear" w:color="auto" w:fill="FFFFFF"/>
        </w:rPr>
        <w:t>middle of</w:t>
      </w:r>
      <w:r w:rsidRPr="00DC1997">
        <w:rPr>
          <w:rFonts w:ascii="Calibri" w:eastAsia="Times New Roman" w:hAnsi="Calibri" w:cs="Calibri"/>
          <w:color w:val="000000"/>
          <w:shd w:val="clear" w:color="auto" w:fill="FFFFFF"/>
        </w:rPr>
        <w:t xml:space="preserve"> drive aisle </w:t>
      </w:r>
      <w:r>
        <w:rPr>
          <w:rFonts w:ascii="Calibri" w:eastAsia="Times New Roman" w:hAnsi="Calibri" w:cs="Calibri"/>
          <w:color w:val="000000"/>
          <w:shd w:val="clear" w:color="auto" w:fill="FFFFFF"/>
        </w:rPr>
        <w:t>to provide a turnaround area at the end of the drive aisle</w:t>
      </w:r>
      <w:r w:rsidRPr="00DC1997">
        <w:rPr>
          <w:rFonts w:ascii="Calibri" w:eastAsia="Times New Roman" w:hAnsi="Calibri" w:cs="Calibri"/>
          <w:color w:val="000000"/>
          <w:shd w:val="clear" w:color="auto" w:fill="FFFFFF"/>
        </w:rPr>
        <w:t>. We propose the</w:t>
      </w:r>
      <w:r w:rsidRPr="00DC1997">
        <w:rPr>
          <w:rFonts w:ascii="Calibri" w:eastAsia="Times New Roman" w:hAnsi="Calibri" w:cs="Calibri"/>
          <w:color w:val="000000"/>
        </w:rPr>
        <w:t xml:space="preserve"> required landscaping for the 10’ setback (type C – SRC chapter 807) be dispersed throughout the site.</w:t>
      </w:r>
      <w:r w:rsidRPr="00DC1997">
        <w:rPr>
          <w:rFonts w:ascii="Calibri" w:eastAsia="Times New Roman" w:hAnsi="Calibri" w:cs="Calibri"/>
          <w:color w:val="000000"/>
          <w:shd w:val="clear" w:color="auto" w:fill="FFFFFF"/>
        </w:rPr>
        <w:t>  This Class 2 adjustment w</w:t>
      </w:r>
      <w:r w:rsidRPr="00DC1997">
        <w:rPr>
          <w:rFonts w:ascii="Calibri" w:eastAsia="Times New Roman" w:hAnsi="Calibri" w:cs="Calibri"/>
          <w:color w:val="000000"/>
        </w:rPr>
        <w:t>ill not unreasonably impact the surrounding, existing, potential uses or development.</w:t>
      </w:r>
    </w:p>
    <w:p w14:paraId="2C3FE676" w14:textId="77777777" w:rsidR="00107347" w:rsidRPr="00DC1997" w:rsidRDefault="00107347" w:rsidP="00107347">
      <w:pPr>
        <w:pStyle w:val="List3"/>
        <w:rPr>
          <w:sz w:val="24"/>
        </w:rPr>
      </w:pPr>
    </w:p>
    <w:p w14:paraId="2A78FB49" w14:textId="77777777" w:rsidR="00107347" w:rsidRPr="00DC1997" w:rsidRDefault="00107347" w:rsidP="00107347">
      <w:pPr>
        <w:pStyle w:val="List2"/>
        <w:ind w:left="0" w:firstLine="0"/>
        <w:rPr>
          <w:color w:val="0070C0"/>
          <w:sz w:val="24"/>
        </w:rPr>
      </w:pPr>
      <w:r w:rsidRPr="00DC1997">
        <w:rPr>
          <w:color w:val="0070C0"/>
          <w:sz w:val="24"/>
        </w:rPr>
        <w:t>(2)</w:t>
      </w:r>
      <w:r w:rsidRPr="00DC1997">
        <w:rPr>
          <w:color w:val="0070C0"/>
          <w:sz w:val="24"/>
        </w:rPr>
        <w:tab/>
      </w:r>
      <w:r w:rsidRPr="00DC1997">
        <w:rPr>
          <w:i/>
          <w:color w:val="0070C0"/>
          <w:sz w:val="24"/>
        </w:rPr>
        <w:t>Prohibition.</w:t>
      </w:r>
      <w:r w:rsidRPr="00DC1997">
        <w:rPr>
          <w:color w:val="0070C0"/>
          <w:sz w:val="24"/>
        </w:rPr>
        <w:t xml:space="preserve"> Notwithstanding subsection (a)(1) of this section, an adjustment shall not be granted to: </w:t>
      </w:r>
    </w:p>
    <w:p w14:paraId="7E4CDEC1" w14:textId="77777777" w:rsidR="00107347" w:rsidRPr="00DC1997" w:rsidRDefault="00107347" w:rsidP="00107347">
      <w:pPr>
        <w:pStyle w:val="List4"/>
        <w:rPr>
          <w:color w:val="0070C0"/>
          <w:sz w:val="24"/>
        </w:rPr>
      </w:pPr>
      <w:r w:rsidRPr="00DC1997">
        <w:rPr>
          <w:color w:val="0070C0"/>
          <w:sz w:val="24"/>
        </w:rPr>
        <w:t>(A)</w:t>
      </w:r>
      <w:r w:rsidRPr="00DC1997">
        <w:rPr>
          <w:color w:val="0070C0"/>
          <w:sz w:val="24"/>
        </w:rPr>
        <w:tab/>
        <w:t xml:space="preserve">Allow a use or activity not allowed under the UDC; </w:t>
      </w:r>
    </w:p>
    <w:p w14:paraId="660A9E01" w14:textId="77777777" w:rsidR="00107347" w:rsidRPr="00DC1997" w:rsidRDefault="00107347" w:rsidP="00107347">
      <w:pPr>
        <w:pStyle w:val="List4"/>
        <w:rPr>
          <w:color w:val="0070C0"/>
          <w:sz w:val="24"/>
        </w:rPr>
      </w:pPr>
      <w:r w:rsidRPr="00DC1997">
        <w:rPr>
          <w:color w:val="0070C0"/>
          <w:sz w:val="24"/>
        </w:rPr>
        <w:t>(B)</w:t>
      </w:r>
      <w:r w:rsidRPr="00DC1997">
        <w:rPr>
          <w:color w:val="0070C0"/>
          <w:sz w:val="24"/>
        </w:rPr>
        <w:tab/>
        <w:t xml:space="preserve">Change the status of a use or activity under the UDC; </w:t>
      </w:r>
    </w:p>
    <w:p w14:paraId="405C6AFF" w14:textId="77777777" w:rsidR="00107347" w:rsidRPr="00DC1997" w:rsidRDefault="00107347" w:rsidP="00107347">
      <w:pPr>
        <w:pStyle w:val="List4"/>
        <w:rPr>
          <w:color w:val="0070C0"/>
          <w:sz w:val="24"/>
        </w:rPr>
      </w:pPr>
      <w:r w:rsidRPr="00DC1997">
        <w:rPr>
          <w:color w:val="0070C0"/>
          <w:sz w:val="24"/>
        </w:rPr>
        <w:t>(C)</w:t>
      </w:r>
      <w:r w:rsidRPr="00DC1997">
        <w:rPr>
          <w:color w:val="0070C0"/>
          <w:sz w:val="24"/>
        </w:rPr>
        <w:tab/>
        <w:t xml:space="preserve">Modify a definition or use classification; </w:t>
      </w:r>
    </w:p>
    <w:p w14:paraId="3481A249" w14:textId="77777777" w:rsidR="00107347" w:rsidRPr="00DC1997" w:rsidRDefault="00107347" w:rsidP="00107347">
      <w:pPr>
        <w:pStyle w:val="List4"/>
        <w:rPr>
          <w:color w:val="0070C0"/>
          <w:sz w:val="24"/>
        </w:rPr>
      </w:pPr>
      <w:r w:rsidRPr="00DC1997">
        <w:rPr>
          <w:color w:val="0070C0"/>
          <w:sz w:val="24"/>
        </w:rPr>
        <w:t>(D)</w:t>
      </w:r>
      <w:r w:rsidRPr="00DC1997">
        <w:rPr>
          <w:color w:val="0070C0"/>
          <w:sz w:val="24"/>
        </w:rPr>
        <w:tab/>
        <w:t xml:space="preserve">Modify a use standard; </w:t>
      </w:r>
    </w:p>
    <w:p w14:paraId="6C3BA8B4" w14:textId="77777777" w:rsidR="00107347" w:rsidRPr="00DC1997" w:rsidRDefault="00107347" w:rsidP="00107347">
      <w:pPr>
        <w:pStyle w:val="List4"/>
        <w:rPr>
          <w:color w:val="0070C0"/>
          <w:sz w:val="24"/>
        </w:rPr>
      </w:pPr>
      <w:r w:rsidRPr="00DC1997">
        <w:rPr>
          <w:color w:val="0070C0"/>
          <w:sz w:val="24"/>
        </w:rPr>
        <w:lastRenderedPageBreak/>
        <w:t>(E)</w:t>
      </w:r>
      <w:r w:rsidRPr="00DC1997">
        <w:rPr>
          <w:color w:val="0070C0"/>
          <w:sz w:val="24"/>
        </w:rPr>
        <w:tab/>
        <w:t xml:space="preserve">Modify the applicability of any requirement under the UDC; </w:t>
      </w:r>
    </w:p>
    <w:p w14:paraId="47C3E798" w14:textId="77777777" w:rsidR="00107347" w:rsidRPr="00DC1997" w:rsidRDefault="00107347" w:rsidP="00107347">
      <w:pPr>
        <w:pStyle w:val="List4"/>
        <w:rPr>
          <w:color w:val="0070C0"/>
          <w:sz w:val="24"/>
        </w:rPr>
      </w:pPr>
      <w:r w:rsidRPr="00DC1997">
        <w:rPr>
          <w:color w:val="0070C0"/>
          <w:sz w:val="24"/>
        </w:rPr>
        <w:t>(F)</w:t>
      </w:r>
      <w:r w:rsidRPr="00DC1997">
        <w:rPr>
          <w:color w:val="0070C0"/>
          <w:sz w:val="24"/>
        </w:rPr>
        <w:tab/>
        <w:t xml:space="preserve">Modify a development standard specifically identified as non-adjustable; </w:t>
      </w:r>
    </w:p>
    <w:p w14:paraId="419882C4" w14:textId="77777777" w:rsidR="00107347" w:rsidRPr="00DC1997" w:rsidRDefault="00107347" w:rsidP="00107347">
      <w:pPr>
        <w:pStyle w:val="List4"/>
        <w:rPr>
          <w:color w:val="0070C0"/>
          <w:sz w:val="24"/>
        </w:rPr>
      </w:pPr>
      <w:r w:rsidRPr="00DC1997">
        <w:rPr>
          <w:color w:val="0070C0"/>
          <w:sz w:val="24"/>
        </w:rPr>
        <w:t>(G)</w:t>
      </w:r>
      <w:r w:rsidRPr="00DC1997">
        <w:rPr>
          <w:color w:val="0070C0"/>
          <w:sz w:val="24"/>
        </w:rPr>
        <w:tab/>
        <w:t xml:space="preserve">Modify a development standard that contains the word "prohibited"; </w:t>
      </w:r>
    </w:p>
    <w:p w14:paraId="12DD7D29" w14:textId="77777777" w:rsidR="00107347" w:rsidRPr="00DC1997" w:rsidRDefault="00107347" w:rsidP="00107347">
      <w:pPr>
        <w:pStyle w:val="List4"/>
        <w:rPr>
          <w:color w:val="0070C0"/>
          <w:sz w:val="24"/>
        </w:rPr>
      </w:pPr>
      <w:r w:rsidRPr="00DC1997">
        <w:rPr>
          <w:color w:val="0070C0"/>
          <w:sz w:val="24"/>
        </w:rPr>
        <w:t>(H)</w:t>
      </w:r>
      <w:r w:rsidRPr="00DC1997">
        <w:rPr>
          <w:color w:val="0070C0"/>
          <w:sz w:val="24"/>
        </w:rPr>
        <w:tab/>
        <w:t xml:space="preserve">Modify a procedural requirement under the UDC; </w:t>
      </w:r>
    </w:p>
    <w:p w14:paraId="56174D35" w14:textId="77777777" w:rsidR="00107347" w:rsidRPr="00DC1997" w:rsidRDefault="00107347" w:rsidP="00107347">
      <w:pPr>
        <w:pStyle w:val="List4"/>
        <w:rPr>
          <w:color w:val="0070C0"/>
          <w:sz w:val="24"/>
        </w:rPr>
      </w:pPr>
      <w:r w:rsidRPr="00DC1997">
        <w:rPr>
          <w:color w:val="0070C0"/>
          <w:sz w:val="24"/>
        </w:rPr>
        <w:t>(I)</w:t>
      </w:r>
      <w:r w:rsidRPr="00DC1997">
        <w:rPr>
          <w:color w:val="0070C0"/>
          <w:sz w:val="24"/>
        </w:rPr>
        <w:tab/>
        <w:t xml:space="preserve">Modify a condition of approval placed on property through a previous planning action; </w:t>
      </w:r>
    </w:p>
    <w:p w14:paraId="56F9D6C0" w14:textId="77777777" w:rsidR="00107347" w:rsidRPr="00DC1997" w:rsidRDefault="00107347" w:rsidP="00107347">
      <w:pPr>
        <w:pStyle w:val="List4"/>
        <w:rPr>
          <w:color w:val="0070C0"/>
          <w:sz w:val="24"/>
        </w:rPr>
      </w:pPr>
      <w:r w:rsidRPr="00DC1997">
        <w:rPr>
          <w:color w:val="0070C0"/>
          <w:sz w:val="24"/>
        </w:rPr>
        <w:t>(J)</w:t>
      </w:r>
      <w:r w:rsidRPr="00DC1997">
        <w:rPr>
          <w:color w:val="0070C0"/>
          <w:sz w:val="24"/>
        </w:rPr>
        <w:tab/>
        <w:t xml:space="preserve">A design review guideline or design review standard, except Multiple Family Design Review Standards in SRC Chapter 702, which may be adjusted; or </w:t>
      </w:r>
    </w:p>
    <w:p w14:paraId="49B05E30" w14:textId="77777777" w:rsidR="00107347" w:rsidRPr="00DC1997" w:rsidRDefault="00107347" w:rsidP="00107347">
      <w:pPr>
        <w:pStyle w:val="List4"/>
        <w:rPr>
          <w:color w:val="0070C0"/>
          <w:sz w:val="24"/>
        </w:rPr>
      </w:pPr>
      <w:r w:rsidRPr="00DC1997">
        <w:rPr>
          <w:color w:val="0070C0"/>
          <w:sz w:val="24"/>
        </w:rPr>
        <w:t>(K)</w:t>
      </w:r>
      <w:r w:rsidRPr="00DC1997">
        <w:rPr>
          <w:color w:val="0070C0"/>
          <w:sz w:val="24"/>
        </w:rPr>
        <w:tab/>
        <w:t xml:space="preserve">The required landscaping in the Industrial Business Campus (IBC) Zone. </w:t>
      </w:r>
    </w:p>
    <w:p w14:paraId="0E1A3A7F" w14:textId="77777777" w:rsidR="00107347" w:rsidRDefault="00107347" w:rsidP="00107347">
      <w:pPr>
        <w:pStyle w:val="List4"/>
        <w:ind w:left="0" w:firstLine="0"/>
        <w:rPr>
          <w:b/>
          <w:bCs/>
          <w:sz w:val="24"/>
          <w:u w:val="single"/>
        </w:rPr>
      </w:pPr>
    </w:p>
    <w:p w14:paraId="1F42D28F" w14:textId="77777777" w:rsidR="00107347" w:rsidRDefault="00107347" w:rsidP="00107347">
      <w:pPr>
        <w:pStyle w:val="List4"/>
        <w:ind w:left="0" w:firstLine="0"/>
        <w:rPr>
          <w:sz w:val="24"/>
        </w:rPr>
      </w:pPr>
      <w:r w:rsidRPr="00DC1997">
        <w:rPr>
          <w:b/>
          <w:bCs/>
          <w:sz w:val="24"/>
          <w:u w:val="single"/>
        </w:rPr>
        <w:t>Response:</w:t>
      </w:r>
      <w:r w:rsidRPr="00DC1997">
        <w:rPr>
          <w:sz w:val="24"/>
        </w:rPr>
        <w:tab/>
        <w:t>The project does not include an adjustment to any of the standards, guidelines, or requirements listed in (A) through (K) above.  The project meets the applicable design review standards for multiple family development.  This standard is met.</w:t>
      </w:r>
    </w:p>
    <w:p w14:paraId="6194892B" w14:textId="77777777" w:rsidR="00107347" w:rsidRDefault="00107347" w:rsidP="00107347">
      <w:pPr>
        <w:pStyle w:val="List4"/>
        <w:ind w:left="0" w:firstLine="0"/>
        <w:rPr>
          <w:sz w:val="24"/>
        </w:rPr>
      </w:pPr>
    </w:p>
    <w:p w14:paraId="1A5F32EE" w14:textId="77777777" w:rsidR="00107347" w:rsidRPr="00DC1997" w:rsidRDefault="00107347" w:rsidP="00107347">
      <w:pPr>
        <w:pStyle w:val="List4"/>
        <w:ind w:left="0" w:firstLine="0"/>
        <w:rPr>
          <w:sz w:val="24"/>
        </w:rPr>
      </w:pPr>
      <w:r w:rsidRPr="00DC1997">
        <w:rPr>
          <w:color w:val="0070C0"/>
          <w:sz w:val="24"/>
        </w:rPr>
        <w:t>(b)</w:t>
      </w:r>
      <w:r w:rsidRPr="00DC1997">
        <w:rPr>
          <w:color w:val="0070C0"/>
          <w:sz w:val="24"/>
        </w:rPr>
        <w:tab/>
      </w:r>
      <w:r w:rsidRPr="00DC1997">
        <w:rPr>
          <w:i/>
          <w:color w:val="0070C0"/>
          <w:sz w:val="24"/>
        </w:rPr>
        <w:t>Procedure type.</w:t>
      </w:r>
      <w:r w:rsidRPr="00DC1997">
        <w:rPr>
          <w:color w:val="0070C0"/>
          <w:sz w:val="24"/>
        </w:rPr>
        <w:t xml:space="preserve"> Class 1 and Class 2 adjustments are processed as a Type II Procedure under SRC chapter 300. </w:t>
      </w:r>
    </w:p>
    <w:p w14:paraId="5131950C" w14:textId="77777777" w:rsidR="00107347" w:rsidRPr="00DC1997" w:rsidRDefault="00107347" w:rsidP="00107347">
      <w:pPr>
        <w:pStyle w:val="List1"/>
        <w:rPr>
          <w:color w:val="0070C0"/>
          <w:sz w:val="24"/>
        </w:rPr>
      </w:pPr>
    </w:p>
    <w:p w14:paraId="762FDD39" w14:textId="0165E48C" w:rsidR="00107347" w:rsidRPr="00DC1997" w:rsidRDefault="00107347" w:rsidP="00107347">
      <w:pPr>
        <w:pStyle w:val="List1"/>
        <w:rPr>
          <w:sz w:val="24"/>
        </w:rPr>
      </w:pPr>
      <w:r w:rsidRPr="00DC1997">
        <w:rPr>
          <w:b/>
          <w:bCs/>
          <w:sz w:val="24"/>
          <w:u w:val="single"/>
        </w:rPr>
        <w:t>Response:</w:t>
      </w:r>
      <w:r w:rsidRPr="00DC1997">
        <w:rPr>
          <w:sz w:val="24"/>
        </w:rPr>
        <w:tab/>
        <w:t xml:space="preserve">The Class 1 and the Class 2 adjustments will be processed as a Type II procedure. </w:t>
      </w:r>
    </w:p>
    <w:p w14:paraId="2546DB2E" w14:textId="77777777" w:rsidR="00107347" w:rsidRDefault="00107347" w:rsidP="00107347">
      <w:pPr>
        <w:pStyle w:val="List1"/>
        <w:rPr>
          <w:sz w:val="24"/>
        </w:rPr>
      </w:pPr>
    </w:p>
    <w:p w14:paraId="2A5336C6" w14:textId="77777777" w:rsidR="00107347" w:rsidRPr="00DC1997" w:rsidRDefault="00107347" w:rsidP="00107347">
      <w:pPr>
        <w:pStyle w:val="List1"/>
        <w:rPr>
          <w:sz w:val="24"/>
        </w:rPr>
      </w:pPr>
    </w:p>
    <w:p w14:paraId="55691335" w14:textId="77777777" w:rsidR="00107347" w:rsidRPr="00DC1997" w:rsidRDefault="00107347" w:rsidP="00107347">
      <w:pPr>
        <w:pStyle w:val="List1"/>
        <w:rPr>
          <w:color w:val="0070C0"/>
          <w:sz w:val="24"/>
        </w:rPr>
      </w:pPr>
      <w:r w:rsidRPr="00DC1997">
        <w:rPr>
          <w:color w:val="0070C0"/>
          <w:sz w:val="24"/>
        </w:rPr>
        <w:t>(c)</w:t>
      </w:r>
      <w:r w:rsidRPr="00DC1997">
        <w:rPr>
          <w:color w:val="0070C0"/>
          <w:sz w:val="24"/>
        </w:rPr>
        <w:tab/>
      </w:r>
      <w:r w:rsidRPr="00DC1997">
        <w:rPr>
          <w:i/>
          <w:color w:val="0070C0"/>
          <w:sz w:val="24"/>
        </w:rPr>
        <w:t>Submittal requirements.</w:t>
      </w:r>
      <w:r w:rsidRPr="00DC1997">
        <w:rPr>
          <w:color w:val="0070C0"/>
          <w:sz w:val="24"/>
        </w:rPr>
        <w:t xml:space="preserve"> In addition to the submittal requirements for a Type II application under SRC chapter 300, an application for a Class 1 or Class 2 adjustment shall include the following: </w:t>
      </w:r>
    </w:p>
    <w:p w14:paraId="3B12CAD2" w14:textId="77777777" w:rsidR="00107347" w:rsidRPr="00DC1997" w:rsidRDefault="00107347" w:rsidP="00107347">
      <w:pPr>
        <w:pStyle w:val="List2"/>
        <w:rPr>
          <w:color w:val="0070C0"/>
          <w:sz w:val="24"/>
        </w:rPr>
      </w:pPr>
      <w:r w:rsidRPr="00DC1997">
        <w:rPr>
          <w:color w:val="0070C0"/>
          <w:sz w:val="24"/>
        </w:rPr>
        <w:t>(1)</w:t>
      </w:r>
      <w:r w:rsidRPr="00DC1997">
        <w:rPr>
          <w:color w:val="0070C0"/>
          <w:sz w:val="24"/>
        </w:rPr>
        <w:tab/>
        <w:t xml:space="preserve">A site plan, of a size and form and in the number of copies meeting the standards established by the Planning Administrator, containing all information necessary to establish satisfaction with the approval criteria. By way of example, but not of limitation, such information may include the following: </w:t>
      </w:r>
    </w:p>
    <w:p w14:paraId="5AFBA9B6" w14:textId="77777777" w:rsidR="00107347" w:rsidRPr="00DC1997" w:rsidRDefault="00107347" w:rsidP="00107347">
      <w:pPr>
        <w:pStyle w:val="List3"/>
        <w:rPr>
          <w:color w:val="0070C0"/>
          <w:sz w:val="24"/>
        </w:rPr>
      </w:pPr>
      <w:r w:rsidRPr="00DC1997">
        <w:rPr>
          <w:color w:val="0070C0"/>
          <w:sz w:val="24"/>
        </w:rPr>
        <w:t>(A)</w:t>
      </w:r>
      <w:r w:rsidRPr="00DC1997">
        <w:rPr>
          <w:color w:val="0070C0"/>
          <w:sz w:val="24"/>
        </w:rPr>
        <w:tab/>
        <w:t xml:space="preserve">The total site area, dimensions, and orientation relative to north; </w:t>
      </w:r>
    </w:p>
    <w:p w14:paraId="03AA99A4" w14:textId="77777777" w:rsidR="00107347" w:rsidRPr="00DC1997" w:rsidRDefault="00107347" w:rsidP="00107347">
      <w:pPr>
        <w:pStyle w:val="List3"/>
        <w:rPr>
          <w:color w:val="0070C0"/>
          <w:sz w:val="24"/>
        </w:rPr>
      </w:pPr>
      <w:r w:rsidRPr="00DC1997">
        <w:rPr>
          <w:color w:val="0070C0"/>
          <w:sz w:val="24"/>
        </w:rPr>
        <w:t>(B)</w:t>
      </w:r>
      <w:r w:rsidRPr="00DC1997">
        <w:rPr>
          <w:color w:val="0070C0"/>
          <w:sz w:val="24"/>
        </w:rPr>
        <w:tab/>
        <w:t xml:space="preserve">The location of all proposed primary and accessory structures and other improvements, including fences, walls, and driveway locations, indicating distance to such structures from all property lines and adjacent on-site structures; </w:t>
      </w:r>
    </w:p>
    <w:p w14:paraId="42D4D8FB" w14:textId="77777777" w:rsidR="00107347" w:rsidRPr="00DC1997" w:rsidRDefault="00107347" w:rsidP="00107347">
      <w:pPr>
        <w:pStyle w:val="List3"/>
        <w:rPr>
          <w:color w:val="0070C0"/>
          <w:sz w:val="24"/>
        </w:rPr>
      </w:pPr>
      <w:r w:rsidRPr="00DC1997">
        <w:rPr>
          <w:color w:val="0070C0"/>
          <w:sz w:val="24"/>
        </w:rPr>
        <w:t>(C)</w:t>
      </w:r>
      <w:r w:rsidRPr="00DC1997">
        <w:rPr>
          <w:color w:val="0070C0"/>
          <w:sz w:val="24"/>
        </w:rPr>
        <w:tab/>
        <w:t xml:space="preserve">All proposed landscape areas on the site, with an indication of square footage and as a percentage of site area; </w:t>
      </w:r>
    </w:p>
    <w:p w14:paraId="7A94FC0F" w14:textId="77777777" w:rsidR="00107347" w:rsidRPr="00DC1997" w:rsidRDefault="00107347" w:rsidP="00107347">
      <w:pPr>
        <w:pStyle w:val="List3"/>
        <w:rPr>
          <w:color w:val="0070C0"/>
          <w:sz w:val="24"/>
        </w:rPr>
      </w:pPr>
      <w:r w:rsidRPr="00DC1997">
        <w:rPr>
          <w:color w:val="0070C0"/>
          <w:sz w:val="24"/>
        </w:rPr>
        <w:lastRenderedPageBreak/>
        <w:t>(D)</w:t>
      </w:r>
      <w:r w:rsidRPr="00DC1997">
        <w:rPr>
          <w:color w:val="0070C0"/>
          <w:sz w:val="24"/>
        </w:rPr>
        <w:tab/>
        <w:t xml:space="preserve">The location, height, and material of fences, berms, walls, and other proposed screening as they relate to landscaping and screening required by SRC chapter 807; </w:t>
      </w:r>
    </w:p>
    <w:p w14:paraId="4096B459" w14:textId="77777777" w:rsidR="00107347" w:rsidRPr="00DC1997" w:rsidRDefault="00107347" w:rsidP="00107347">
      <w:pPr>
        <w:pStyle w:val="List3"/>
        <w:rPr>
          <w:color w:val="0070C0"/>
          <w:sz w:val="24"/>
        </w:rPr>
      </w:pPr>
      <w:r w:rsidRPr="00DC1997">
        <w:rPr>
          <w:color w:val="0070C0"/>
          <w:sz w:val="24"/>
        </w:rPr>
        <w:t>(E)</w:t>
      </w:r>
      <w:r w:rsidRPr="00DC1997">
        <w:rPr>
          <w:color w:val="0070C0"/>
          <w:sz w:val="24"/>
        </w:rPr>
        <w:tab/>
        <w:t xml:space="preserve">The location of all trees and vegetation required to be protected pursuant to SRC chapter 808; and </w:t>
      </w:r>
    </w:p>
    <w:p w14:paraId="70919F8F" w14:textId="77777777" w:rsidR="00107347" w:rsidRPr="00DC1997" w:rsidRDefault="00107347" w:rsidP="00107347">
      <w:pPr>
        <w:pStyle w:val="List3"/>
        <w:rPr>
          <w:color w:val="0070C0"/>
          <w:sz w:val="24"/>
        </w:rPr>
      </w:pPr>
      <w:r w:rsidRPr="00DC1997">
        <w:rPr>
          <w:color w:val="0070C0"/>
          <w:sz w:val="24"/>
        </w:rPr>
        <w:t>(F)</w:t>
      </w:r>
      <w:r w:rsidRPr="00DC1997">
        <w:rPr>
          <w:color w:val="0070C0"/>
          <w:sz w:val="24"/>
        </w:rPr>
        <w:tab/>
        <w:t xml:space="preserve">Identification of vehicle, pedestrian, and bicycle parking and circulation areas, including handicapped parking stalls, disembarking areas, accessible routes of travel, and proposed ramps. </w:t>
      </w:r>
    </w:p>
    <w:p w14:paraId="1DA31A00" w14:textId="77777777" w:rsidR="00107347" w:rsidRDefault="00107347" w:rsidP="00107347">
      <w:pPr>
        <w:pStyle w:val="List3"/>
        <w:ind w:left="0" w:firstLine="0"/>
        <w:rPr>
          <w:b/>
          <w:bCs/>
          <w:sz w:val="24"/>
          <w:u w:val="single"/>
        </w:rPr>
      </w:pPr>
    </w:p>
    <w:p w14:paraId="15293EF4" w14:textId="77777777" w:rsidR="00107347" w:rsidRPr="00DC1997" w:rsidRDefault="00107347" w:rsidP="00107347">
      <w:pPr>
        <w:pStyle w:val="List3"/>
        <w:ind w:left="0" w:firstLine="0"/>
        <w:rPr>
          <w:b/>
          <w:bCs/>
          <w:sz w:val="24"/>
          <w:u w:val="single"/>
        </w:rPr>
      </w:pPr>
    </w:p>
    <w:p w14:paraId="6A60DF05" w14:textId="77777777" w:rsidR="00107347" w:rsidRPr="00DC1997" w:rsidRDefault="00107347" w:rsidP="00107347">
      <w:pPr>
        <w:pStyle w:val="List3"/>
        <w:ind w:left="0" w:firstLine="0"/>
        <w:rPr>
          <w:sz w:val="24"/>
        </w:rPr>
      </w:pPr>
      <w:r w:rsidRPr="00DC1997">
        <w:rPr>
          <w:b/>
          <w:bCs/>
          <w:sz w:val="24"/>
          <w:u w:val="single"/>
        </w:rPr>
        <w:t>Response:</w:t>
      </w:r>
      <w:r w:rsidRPr="00DC1997">
        <w:rPr>
          <w:sz w:val="24"/>
        </w:rPr>
        <w:tab/>
        <w:t>A Site Plan with the applicable information required in (A) through (F) above has been submitted. This requirement is met.</w:t>
      </w:r>
    </w:p>
    <w:p w14:paraId="2158AE7E" w14:textId="77777777" w:rsidR="00107347" w:rsidRPr="00DC1997" w:rsidRDefault="00107347" w:rsidP="00107347">
      <w:pPr>
        <w:pStyle w:val="List3"/>
        <w:ind w:left="0" w:firstLine="0"/>
        <w:rPr>
          <w:sz w:val="24"/>
        </w:rPr>
      </w:pPr>
    </w:p>
    <w:p w14:paraId="622ACBEC" w14:textId="77777777" w:rsidR="00107347" w:rsidRPr="00DC1997" w:rsidRDefault="00107347" w:rsidP="00107347">
      <w:pPr>
        <w:pStyle w:val="List2"/>
        <w:rPr>
          <w:color w:val="0070C0"/>
          <w:sz w:val="24"/>
        </w:rPr>
      </w:pPr>
      <w:r w:rsidRPr="00DC1997">
        <w:rPr>
          <w:color w:val="0070C0"/>
          <w:sz w:val="24"/>
        </w:rPr>
        <w:t>(2)</w:t>
      </w:r>
      <w:r w:rsidRPr="00DC1997">
        <w:rPr>
          <w:color w:val="0070C0"/>
          <w:sz w:val="24"/>
        </w:rPr>
        <w:tab/>
        <w:t xml:space="preserve">An existing conditions plan, of a size and form and in the number of copies meeting the standards established by the Planning Administrator, containing the following information: </w:t>
      </w:r>
    </w:p>
    <w:p w14:paraId="1EDE06C3" w14:textId="77777777" w:rsidR="00107347" w:rsidRPr="00DC1997" w:rsidRDefault="00107347" w:rsidP="00107347">
      <w:pPr>
        <w:pStyle w:val="List3"/>
        <w:rPr>
          <w:color w:val="0070C0"/>
          <w:sz w:val="24"/>
        </w:rPr>
      </w:pPr>
      <w:r w:rsidRPr="00DC1997">
        <w:rPr>
          <w:color w:val="0070C0"/>
          <w:sz w:val="24"/>
        </w:rPr>
        <w:t>(A)</w:t>
      </w:r>
      <w:r w:rsidRPr="00DC1997">
        <w:rPr>
          <w:color w:val="0070C0"/>
          <w:sz w:val="24"/>
        </w:rPr>
        <w:tab/>
        <w:t xml:space="preserve">The total site area, dimensions, and orientation relative to north; </w:t>
      </w:r>
    </w:p>
    <w:p w14:paraId="46B61B24" w14:textId="77777777" w:rsidR="00107347" w:rsidRPr="00DC1997" w:rsidRDefault="00107347" w:rsidP="00107347">
      <w:pPr>
        <w:pStyle w:val="List3"/>
        <w:rPr>
          <w:color w:val="0070C0"/>
          <w:sz w:val="24"/>
        </w:rPr>
      </w:pPr>
      <w:r w:rsidRPr="00DC1997">
        <w:rPr>
          <w:color w:val="0070C0"/>
          <w:sz w:val="24"/>
        </w:rPr>
        <w:t>(B)</w:t>
      </w:r>
      <w:r w:rsidRPr="00DC1997">
        <w:rPr>
          <w:color w:val="0070C0"/>
          <w:sz w:val="24"/>
        </w:rPr>
        <w:tab/>
        <w:t xml:space="preserve">The location of existing structures and other improvements on the site, including accessory structures, fences, walls, and driveways, noting their distance from property lines; </w:t>
      </w:r>
    </w:p>
    <w:p w14:paraId="533C05AD" w14:textId="77777777" w:rsidR="00107347" w:rsidRPr="00DC1997" w:rsidRDefault="00107347" w:rsidP="00107347">
      <w:pPr>
        <w:pStyle w:val="List3"/>
        <w:rPr>
          <w:color w:val="0070C0"/>
          <w:sz w:val="24"/>
        </w:rPr>
      </w:pPr>
      <w:r w:rsidRPr="00DC1997">
        <w:rPr>
          <w:color w:val="0070C0"/>
          <w:sz w:val="24"/>
        </w:rPr>
        <w:t>(C)</w:t>
      </w:r>
      <w:r w:rsidRPr="00DC1997">
        <w:rPr>
          <w:color w:val="0070C0"/>
          <w:sz w:val="24"/>
        </w:rPr>
        <w:tab/>
        <w:t xml:space="preserve">The location of the 100-year floodplain, if applicable; and </w:t>
      </w:r>
    </w:p>
    <w:p w14:paraId="40B29045" w14:textId="77777777" w:rsidR="00107347" w:rsidRPr="00DC1997" w:rsidRDefault="00107347" w:rsidP="00107347">
      <w:pPr>
        <w:pStyle w:val="List3"/>
        <w:rPr>
          <w:color w:val="0070C0"/>
          <w:sz w:val="24"/>
        </w:rPr>
      </w:pPr>
      <w:r w:rsidRPr="00DC1997">
        <w:rPr>
          <w:color w:val="0070C0"/>
          <w:sz w:val="24"/>
        </w:rPr>
        <w:t>(D)</w:t>
      </w:r>
      <w:r w:rsidRPr="00DC1997">
        <w:rPr>
          <w:color w:val="0070C0"/>
          <w:sz w:val="24"/>
        </w:rPr>
        <w:tab/>
        <w:t xml:space="preserve">The location of drainage patterns and drainage courses, if applicable. </w:t>
      </w:r>
    </w:p>
    <w:p w14:paraId="1D55796A" w14:textId="77777777" w:rsidR="00107347" w:rsidRPr="00DC1997" w:rsidRDefault="00107347" w:rsidP="00107347">
      <w:pPr>
        <w:pStyle w:val="List3"/>
        <w:ind w:left="0" w:firstLine="0"/>
        <w:rPr>
          <w:b/>
          <w:bCs/>
          <w:sz w:val="24"/>
          <w:u w:val="single"/>
        </w:rPr>
      </w:pPr>
    </w:p>
    <w:p w14:paraId="731FA2E2" w14:textId="77777777" w:rsidR="00107347" w:rsidRPr="00DC1997" w:rsidRDefault="00107347" w:rsidP="00107347">
      <w:pPr>
        <w:pStyle w:val="List3"/>
        <w:ind w:left="0" w:firstLine="0"/>
        <w:rPr>
          <w:sz w:val="24"/>
        </w:rPr>
      </w:pPr>
      <w:r w:rsidRPr="00DC1997">
        <w:rPr>
          <w:b/>
          <w:bCs/>
          <w:sz w:val="24"/>
          <w:u w:val="single"/>
        </w:rPr>
        <w:t>Response:</w:t>
      </w:r>
      <w:r w:rsidRPr="00DC1997">
        <w:rPr>
          <w:sz w:val="24"/>
        </w:rPr>
        <w:tab/>
        <w:t>The Topo and Existing Conditions Survey has been submitted.  This requirement is met.</w:t>
      </w:r>
    </w:p>
    <w:p w14:paraId="1FB8ADF7" w14:textId="77777777" w:rsidR="00107347" w:rsidRPr="00DC1997" w:rsidRDefault="00107347" w:rsidP="00107347">
      <w:pPr>
        <w:pStyle w:val="List3"/>
        <w:ind w:left="0" w:firstLine="0"/>
        <w:rPr>
          <w:sz w:val="24"/>
        </w:rPr>
      </w:pPr>
    </w:p>
    <w:p w14:paraId="0AF6ABEF" w14:textId="77777777" w:rsidR="00107347" w:rsidRPr="00DC1997" w:rsidRDefault="00107347" w:rsidP="00107347">
      <w:pPr>
        <w:pStyle w:val="List1"/>
        <w:rPr>
          <w:color w:val="0070C0"/>
          <w:sz w:val="24"/>
        </w:rPr>
      </w:pPr>
      <w:r w:rsidRPr="00DC1997">
        <w:rPr>
          <w:color w:val="0070C0"/>
          <w:sz w:val="24"/>
        </w:rPr>
        <w:t>(d)</w:t>
      </w:r>
      <w:r w:rsidRPr="00DC1997">
        <w:rPr>
          <w:color w:val="0070C0"/>
          <w:sz w:val="24"/>
        </w:rPr>
        <w:tab/>
      </w:r>
      <w:r w:rsidRPr="00DC1997">
        <w:rPr>
          <w:i/>
          <w:color w:val="0070C0"/>
          <w:sz w:val="24"/>
        </w:rPr>
        <w:t>Criteria.</w:t>
      </w:r>
    </w:p>
    <w:p w14:paraId="342EA314" w14:textId="77777777" w:rsidR="00107347" w:rsidRPr="00DC1997" w:rsidRDefault="00107347" w:rsidP="00107347">
      <w:pPr>
        <w:pStyle w:val="List2"/>
        <w:rPr>
          <w:color w:val="0070C0"/>
          <w:sz w:val="24"/>
        </w:rPr>
      </w:pPr>
      <w:r w:rsidRPr="00DC1997">
        <w:rPr>
          <w:color w:val="0070C0"/>
          <w:sz w:val="24"/>
        </w:rPr>
        <w:t>(1)</w:t>
      </w:r>
      <w:r w:rsidRPr="00DC1997">
        <w:rPr>
          <w:color w:val="0070C0"/>
          <w:sz w:val="24"/>
        </w:rPr>
        <w:tab/>
        <w:t xml:space="preserve">An application for a Class 1 adjustment shall be granted if all of the following criteria are met: </w:t>
      </w:r>
    </w:p>
    <w:p w14:paraId="7C32F307" w14:textId="77777777" w:rsidR="00107347" w:rsidRPr="00DC1997" w:rsidRDefault="00107347" w:rsidP="00107347">
      <w:pPr>
        <w:pStyle w:val="List3"/>
        <w:rPr>
          <w:color w:val="0070C0"/>
          <w:sz w:val="24"/>
        </w:rPr>
      </w:pPr>
      <w:r w:rsidRPr="00DC1997">
        <w:rPr>
          <w:color w:val="0070C0"/>
          <w:sz w:val="24"/>
        </w:rPr>
        <w:t>(A)</w:t>
      </w:r>
      <w:r w:rsidRPr="00DC1997">
        <w:rPr>
          <w:color w:val="0070C0"/>
          <w:sz w:val="24"/>
        </w:rPr>
        <w:tab/>
        <w:t xml:space="preserve">The purpose underlying the specific development standard proposed for adjustment is: </w:t>
      </w:r>
    </w:p>
    <w:p w14:paraId="49A25FA9" w14:textId="77777777" w:rsidR="00107347" w:rsidRPr="00DC1997" w:rsidRDefault="00107347" w:rsidP="00107347">
      <w:pPr>
        <w:pStyle w:val="List4"/>
        <w:rPr>
          <w:color w:val="0070C0"/>
          <w:sz w:val="24"/>
        </w:rPr>
      </w:pPr>
      <w:r w:rsidRPr="00DC1997">
        <w:rPr>
          <w:color w:val="0070C0"/>
          <w:sz w:val="24"/>
        </w:rPr>
        <w:t>(</w:t>
      </w:r>
      <w:proofErr w:type="spellStart"/>
      <w:r w:rsidRPr="00DC1997">
        <w:rPr>
          <w:color w:val="0070C0"/>
          <w:sz w:val="24"/>
        </w:rPr>
        <w:t>i</w:t>
      </w:r>
      <w:proofErr w:type="spellEnd"/>
      <w:r w:rsidRPr="00DC1997">
        <w:rPr>
          <w:color w:val="0070C0"/>
          <w:sz w:val="24"/>
        </w:rPr>
        <w:t>)</w:t>
      </w:r>
      <w:r w:rsidRPr="00DC1997">
        <w:rPr>
          <w:color w:val="0070C0"/>
          <w:sz w:val="24"/>
        </w:rPr>
        <w:tab/>
        <w:t xml:space="preserve">Clearly inapplicable to the proposed development; or </w:t>
      </w:r>
    </w:p>
    <w:p w14:paraId="753CA3A5" w14:textId="77777777" w:rsidR="00107347" w:rsidRPr="00DC1997" w:rsidRDefault="00107347" w:rsidP="00107347">
      <w:pPr>
        <w:pStyle w:val="List4"/>
        <w:rPr>
          <w:color w:val="0070C0"/>
          <w:sz w:val="24"/>
        </w:rPr>
      </w:pPr>
      <w:r w:rsidRPr="00DC1997">
        <w:rPr>
          <w:color w:val="0070C0"/>
          <w:sz w:val="24"/>
        </w:rPr>
        <w:t>(ii)</w:t>
      </w:r>
      <w:r w:rsidRPr="00DC1997">
        <w:rPr>
          <w:color w:val="0070C0"/>
          <w:sz w:val="24"/>
        </w:rPr>
        <w:tab/>
        <w:t xml:space="preserve">Clearly satisfied by the proposed development. </w:t>
      </w:r>
    </w:p>
    <w:p w14:paraId="325ED532" w14:textId="77777777" w:rsidR="00107347" w:rsidRPr="00DC1997" w:rsidRDefault="00107347" w:rsidP="00107347">
      <w:pPr>
        <w:pStyle w:val="List3"/>
        <w:rPr>
          <w:color w:val="0070C0"/>
          <w:sz w:val="24"/>
        </w:rPr>
      </w:pPr>
      <w:r w:rsidRPr="00DC1997">
        <w:rPr>
          <w:color w:val="0070C0"/>
          <w:sz w:val="24"/>
        </w:rPr>
        <w:t>(B)</w:t>
      </w:r>
      <w:r w:rsidRPr="00DC1997">
        <w:rPr>
          <w:color w:val="0070C0"/>
          <w:sz w:val="24"/>
        </w:rPr>
        <w:tab/>
        <w:t xml:space="preserve">The proposed adjustment will not unreasonably impact surrounding existing or potential uses or development. </w:t>
      </w:r>
    </w:p>
    <w:p w14:paraId="7B25BA80" w14:textId="77777777" w:rsidR="00107347" w:rsidRPr="00DC1997" w:rsidRDefault="00107347" w:rsidP="00107347">
      <w:pPr>
        <w:rPr>
          <w:b/>
          <w:bCs/>
          <w:u w:val="single"/>
        </w:rPr>
      </w:pPr>
    </w:p>
    <w:p w14:paraId="1C192B73" w14:textId="1F56EC45" w:rsidR="00107347" w:rsidRDefault="00107347" w:rsidP="00107347">
      <w:pPr>
        <w:pStyle w:val="List4"/>
        <w:ind w:left="0" w:firstLine="0"/>
        <w:rPr>
          <w:sz w:val="24"/>
        </w:rPr>
      </w:pPr>
      <w:r w:rsidRPr="00DC1997">
        <w:rPr>
          <w:b/>
          <w:bCs/>
          <w:u w:val="single"/>
        </w:rPr>
        <w:t>Response:</w:t>
      </w:r>
      <w:r w:rsidRPr="00DC1997">
        <w:tab/>
      </w:r>
      <w:r w:rsidRPr="00DC1997">
        <w:rPr>
          <w:sz w:val="24"/>
        </w:rPr>
        <w:t>This standard is met.</w:t>
      </w:r>
    </w:p>
    <w:p w14:paraId="0A47D1A0" w14:textId="0CA48A36" w:rsidR="00107347" w:rsidRDefault="00107347" w:rsidP="00107347">
      <w:pPr>
        <w:rPr>
          <w:color w:val="0070C0"/>
        </w:rPr>
      </w:pPr>
    </w:p>
    <w:p w14:paraId="0041A47F" w14:textId="77777777" w:rsidR="00107347" w:rsidRDefault="00107347" w:rsidP="00107347">
      <w:pPr>
        <w:pStyle w:val="List2"/>
        <w:rPr>
          <w:color w:val="0070C0"/>
          <w:sz w:val="24"/>
        </w:rPr>
      </w:pPr>
    </w:p>
    <w:p w14:paraId="7150468B" w14:textId="77777777" w:rsidR="00107347" w:rsidRPr="00DC1997" w:rsidRDefault="00107347" w:rsidP="00107347">
      <w:pPr>
        <w:pStyle w:val="List2"/>
        <w:rPr>
          <w:color w:val="0070C0"/>
          <w:sz w:val="24"/>
        </w:rPr>
      </w:pPr>
      <w:r w:rsidRPr="00DC1997">
        <w:rPr>
          <w:color w:val="0070C0"/>
          <w:sz w:val="24"/>
        </w:rPr>
        <w:t>(2)</w:t>
      </w:r>
      <w:r w:rsidRPr="00DC1997">
        <w:rPr>
          <w:color w:val="0070C0"/>
          <w:sz w:val="24"/>
        </w:rPr>
        <w:tab/>
        <w:t xml:space="preserve">An application for a Class 2 adjustment shall be granted if all of the following criteria are met: </w:t>
      </w:r>
    </w:p>
    <w:p w14:paraId="2FAF3B5C" w14:textId="77777777" w:rsidR="00107347" w:rsidRPr="00DC1997" w:rsidRDefault="00107347" w:rsidP="00107347">
      <w:pPr>
        <w:pStyle w:val="List3"/>
        <w:rPr>
          <w:color w:val="0070C0"/>
          <w:sz w:val="24"/>
        </w:rPr>
      </w:pPr>
      <w:r w:rsidRPr="00DC1997">
        <w:rPr>
          <w:color w:val="0070C0"/>
          <w:sz w:val="24"/>
        </w:rPr>
        <w:t>(A)</w:t>
      </w:r>
      <w:r w:rsidRPr="00DC1997">
        <w:rPr>
          <w:color w:val="0070C0"/>
          <w:sz w:val="24"/>
        </w:rPr>
        <w:tab/>
        <w:t xml:space="preserve">The purpose underlying the specific development standard proposed for adjustment is: </w:t>
      </w:r>
    </w:p>
    <w:p w14:paraId="7084F9D5" w14:textId="77777777" w:rsidR="00107347" w:rsidRPr="00DC1997" w:rsidRDefault="00107347" w:rsidP="00107347">
      <w:pPr>
        <w:pStyle w:val="List4"/>
        <w:rPr>
          <w:color w:val="0070C0"/>
          <w:sz w:val="24"/>
        </w:rPr>
      </w:pPr>
      <w:r w:rsidRPr="00DC1997">
        <w:rPr>
          <w:color w:val="0070C0"/>
          <w:sz w:val="24"/>
        </w:rPr>
        <w:t>(</w:t>
      </w:r>
      <w:proofErr w:type="spellStart"/>
      <w:r w:rsidRPr="00DC1997">
        <w:rPr>
          <w:color w:val="0070C0"/>
          <w:sz w:val="24"/>
        </w:rPr>
        <w:t>i</w:t>
      </w:r>
      <w:proofErr w:type="spellEnd"/>
      <w:r w:rsidRPr="00DC1997">
        <w:rPr>
          <w:color w:val="0070C0"/>
          <w:sz w:val="24"/>
        </w:rPr>
        <w:t>)</w:t>
      </w:r>
      <w:r w:rsidRPr="00DC1997">
        <w:rPr>
          <w:color w:val="0070C0"/>
          <w:sz w:val="24"/>
        </w:rPr>
        <w:tab/>
        <w:t xml:space="preserve">Clearly inapplicable to the proposed development; or </w:t>
      </w:r>
    </w:p>
    <w:p w14:paraId="3871502C" w14:textId="77777777" w:rsidR="00107347" w:rsidRPr="00DC1997" w:rsidRDefault="00107347" w:rsidP="00107347">
      <w:pPr>
        <w:pStyle w:val="List4"/>
        <w:rPr>
          <w:color w:val="0070C0"/>
          <w:sz w:val="24"/>
        </w:rPr>
      </w:pPr>
      <w:r w:rsidRPr="00DC1997">
        <w:rPr>
          <w:color w:val="0070C0"/>
          <w:sz w:val="24"/>
        </w:rPr>
        <w:t>(ii)</w:t>
      </w:r>
      <w:r w:rsidRPr="00DC1997">
        <w:rPr>
          <w:color w:val="0070C0"/>
          <w:sz w:val="24"/>
        </w:rPr>
        <w:tab/>
        <w:t xml:space="preserve">Equally or better met by the proposed development. </w:t>
      </w:r>
    </w:p>
    <w:p w14:paraId="6E1D821F" w14:textId="77777777" w:rsidR="00107347" w:rsidRPr="00DC1997" w:rsidRDefault="00107347" w:rsidP="00107347">
      <w:pPr>
        <w:pStyle w:val="List4"/>
        <w:rPr>
          <w:color w:val="0070C0"/>
          <w:sz w:val="24"/>
        </w:rPr>
      </w:pPr>
    </w:p>
    <w:p w14:paraId="7D15CCCE" w14:textId="7D320264" w:rsidR="00107347" w:rsidRPr="00DC1997" w:rsidRDefault="00107347" w:rsidP="00107347">
      <w:r w:rsidRPr="00DC1997">
        <w:rPr>
          <w:b/>
          <w:bCs/>
          <w:color w:val="000000" w:themeColor="text1"/>
          <w:u w:val="single"/>
        </w:rPr>
        <w:t>Response:</w:t>
      </w:r>
      <w:r w:rsidRPr="00DC1997">
        <w:rPr>
          <w:color w:val="000000" w:themeColor="text1"/>
        </w:rPr>
        <w:tab/>
      </w:r>
      <w:r>
        <w:rPr>
          <w:color w:val="000000" w:themeColor="text1"/>
        </w:rPr>
        <w:t>The</w:t>
      </w:r>
      <w:r w:rsidRPr="00DC1997">
        <w:rPr>
          <w:color w:val="000000" w:themeColor="text1"/>
        </w:rPr>
        <w:t xml:space="preserve"> Class 2 adjustment</w:t>
      </w:r>
      <w:r>
        <w:rPr>
          <w:color w:val="000000" w:themeColor="text1"/>
        </w:rPr>
        <w:t xml:space="preserve"> is </w:t>
      </w:r>
      <w:r w:rsidRPr="00DC1997">
        <w:rPr>
          <w:color w:val="000000" w:themeColor="text1"/>
        </w:rPr>
        <w:t xml:space="preserve">needed to reduce the applicable </w:t>
      </w:r>
      <w:r>
        <w:rPr>
          <w:color w:val="000000" w:themeColor="text1"/>
        </w:rPr>
        <w:t xml:space="preserve">landscape </w:t>
      </w:r>
      <w:r w:rsidRPr="00DC1997">
        <w:rPr>
          <w:color w:val="000000" w:themeColor="text1"/>
        </w:rPr>
        <w:t xml:space="preserve">setback </w:t>
      </w:r>
      <w:r>
        <w:rPr>
          <w:color w:val="000000" w:themeColor="text1"/>
        </w:rPr>
        <w:t xml:space="preserve">for the </w:t>
      </w:r>
      <w:r w:rsidRPr="00DC1997">
        <w:t xml:space="preserve">RM-II (Multiple Family Residential) zoned property.  The UDC does not state a specific purpose for these interior setbacks.  The Applicant understands that the purpose of these interior side setbacks </w:t>
      </w:r>
      <w:r>
        <w:t xml:space="preserve">in the </w:t>
      </w:r>
      <w:r w:rsidRPr="00DC1997">
        <w:t xml:space="preserve">RM-II </w:t>
      </w:r>
      <w:r>
        <w:t xml:space="preserve">zone </w:t>
      </w:r>
      <w:r w:rsidRPr="00DC1997">
        <w:t xml:space="preserve">is to maintain light, air, promote a reasonable physical relationship between residences, and provide privacy for the neighboring properties. </w:t>
      </w:r>
    </w:p>
    <w:p w14:paraId="485EEA41" w14:textId="77777777" w:rsidR="00107347" w:rsidRPr="00DC1997" w:rsidRDefault="00107347" w:rsidP="00107347"/>
    <w:p w14:paraId="50FB7688" w14:textId="49299B72" w:rsidR="00107347" w:rsidRPr="00DC1997" w:rsidRDefault="00107347" w:rsidP="00107347">
      <w:pPr>
        <w:pStyle w:val="ListParagraph"/>
        <w:ind w:left="0"/>
        <w:rPr>
          <w:rFonts w:ascii="Calibri" w:eastAsia="Times New Roman" w:hAnsi="Calibri" w:cs="Calibri"/>
        </w:rPr>
      </w:pPr>
      <w:r>
        <w:rPr>
          <w:rFonts w:ascii="Calibri" w:hAnsi="Calibri" w:cs="Calibri"/>
          <w:b/>
          <w:bCs/>
        </w:rPr>
        <w:t>Ea</w:t>
      </w:r>
      <w:r w:rsidRPr="00DC1997">
        <w:rPr>
          <w:rFonts w:ascii="Calibri" w:hAnsi="Calibri" w:cs="Calibri"/>
          <w:b/>
          <w:bCs/>
        </w:rPr>
        <w:t>st Property Line Interior Side (Vehicle Use Area)</w:t>
      </w:r>
      <w:r w:rsidRPr="00DC1997">
        <w:rPr>
          <w:rFonts w:ascii="Calibri" w:eastAsia="Times New Roman" w:hAnsi="Calibri" w:cs="Calibri"/>
          <w:color w:val="000000"/>
        </w:rPr>
        <w:t xml:space="preserve"> (SRC 806.040(d))</w:t>
      </w:r>
      <w:r w:rsidRPr="00DC1997">
        <w:rPr>
          <w:rFonts w:ascii="Calibri" w:eastAsia="Times New Roman" w:hAnsi="Calibri" w:cs="Calibri"/>
          <w:color w:val="000000"/>
          <w:shd w:val="clear" w:color="auto" w:fill="FFFFFF"/>
        </w:rPr>
        <w:t xml:space="preserve">: </w:t>
      </w:r>
      <w:r w:rsidRPr="00DC1997">
        <w:rPr>
          <w:rFonts w:ascii="Calibri" w:hAnsi="Calibri" w:cs="Calibri"/>
        </w:rPr>
        <w:t xml:space="preserve">we request a </w:t>
      </w:r>
      <w:r w:rsidRPr="00DC1997">
        <w:rPr>
          <w:rFonts w:ascii="Calibri" w:hAnsi="Calibri" w:cs="Calibri"/>
          <w:b/>
          <w:bCs/>
        </w:rPr>
        <w:t>Class 2 adjustment</w:t>
      </w:r>
      <w:r w:rsidRPr="00DC1997">
        <w:rPr>
          <w:rFonts w:ascii="Calibri" w:hAnsi="Calibri" w:cs="Calibri"/>
        </w:rPr>
        <w:t xml:space="preserve"> </w:t>
      </w:r>
      <w:r w:rsidRPr="00DC1997">
        <w:rPr>
          <w:rFonts w:ascii="Calibri" w:eastAsia="Times New Roman" w:hAnsi="Calibri" w:cs="Calibri"/>
          <w:color w:val="000000"/>
          <w:shd w:val="clear" w:color="auto" w:fill="FFFFFF"/>
        </w:rPr>
        <w:t xml:space="preserve">reducing the </w:t>
      </w:r>
      <w:r>
        <w:rPr>
          <w:rFonts w:ascii="Calibri" w:eastAsia="Times New Roman" w:hAnsi="Calibri" w:cs="Calibri"/>
          <w:color w:val="000000"/>
          <w:shd w:val="clear" w:color="auto" w:fill="FFFFFF"/>
        </w:rPr>
        <w:t xml:space="preserve">landscaping </w:t>
      </w:r>
      <w:r w:rsidRPr="00DC1997">
        <w:rPr>
          <w:rFonts w:ascii="Calibri" w:eastAsia="Times New Roman" w:hAnsi="Calibri" w:cs="Calibri"/>
          <w:color w:val="000000"/>
          <w:shd w:val="clear" w:color="auto" w:fill="FFFFFF"/>
        </w:rPr>
        <w:t xml:space="preserve">setback from 10’ to </w:t>
      </w:r>
      <w:r>
        <w:rPr>
          <w:rFonts w:ascii="Calibri" w:eastAsia="Times New Roman" w:hAnsi="Calibri" w:cs="Calibri"/>
          <w:color w:val="000000"/>
          <w:shd w:val="clear" w:color="auto" w:fill="FFFFFF"/>
        </w:rPr>
        <w:t>6</w:t>
      </w:r>
      <w:r w:rsidRPr="00DC1997">
        <w:rPr>
          <w:rFonts w:ascii="Calibri" w:eastAsia="Times New Roman" w:hAnsi="Calibri" w:cs="Calibri"/>
          <w:color w:val="000000"/>
          <w:shd w:val="clear" w:color="auto" w:fill="FFFFFF"/>
        </w:rPr>
        <w:t xml:space="preserve">’ along the </w:t>
      </w:r>
      <w:r>
        <w:rPr>
          <w:rFonts w:ascii="Calibri" w:eastAsia="Times New Roman" w:hAnsi="Calibri" w:cs="Calibri"/>
          <w:color w:val="000000"/>
          <w:shd w:val="clear" w:color="auto" w:fill="FFFFFF"/>
        </w:rPr>
        <w:t>middle of</w:t>
      </w:r>
      <w:r w:rsidRPr="00DC1997">
        <w:rPr>
          <w:rFonts w:ascii="Calibri" w:eastAsia="Times New Roman" w:hAnsi="Calibri" w:cs="Calibri"/>
          <w:color w:val="000000"/>
          <w:shd w:val="clear" w:color="auto" w:fill="FFFFFF"/>
        </w:rPr>
        <w:t xml:space="preserve"> drive aisle </w:t>
      </w:r>
      <w:r>
        <w:rPr>
          <w:rFonts w:ascii="Calibri" w:eastAsia="Times New Roman" w:hAnsi="Calibri" w:cs="Calibri"/>
          <w:color w:val="000000"/>
          <w:shd w:val="clear" w:color="auto" w:fill="FFFFFF"/>
        </w:rPr>
        <w:t>to provide a turnaround area at the end of the drive aisle</w:t>
      </w:r>
      <w:r w:rsidRPr="00DC1997">
        <w:rPr>
          <w:rFonts w:ascii="Calibri" w:eastAsia="Times New Roman" w:hAnsi="Calibri" w:cs="Calibri"/>
          <w:color w:val="000000"/>
          <w:shd w:val="clear" w:color="auto" w:fill="FFFFFF"/>
        </w:rPr>
        <w:t>. We propose the</w:t>
      </w:r>
      <w:r w:rsidRPr="00DC1997">
        <w:rPr>
          <w:rFonts w:ascii="Calibri" w:eastAsia="Times New Roman" w:hAnsi="Calibri" w:cs="Calibri"/>
          <w:color w:val="000000"/>
        </w:rPr>
        <w:t xml:space="preserve"> required landscaping for the 10’ setback (type C – SRC chapter 807) be dispersed throughout the site.</w:t>
      </w:r>
      <w:r w:rsidRPr="00DC1997">
        <w:rPr>
          <w:rFonts w:ascii="Calibri" w:eastAsia="Times New Roman" w:hAnsi="Calibri" w:cs="Calibri"/>
          <w:color w:val="000000"/>
          <w:shd w:val="clear" w:color="auto" w:fill="FFFFFF"/>
        </w:rPr>
        <w:t>  This Class 2 adjustment w</w:t>
      </w:r>
      <w:r w:rsidRPr="00DC1997">
        <w:rPr>
          <w:rFonts w:ascii="Calibri" w:eastAsia="Times New Roman" w:hAnsi="Calibri" w:cs="Calibri"/>
          <w:color w:val="000000"/>
        </w:rPr>
        <w:t>ill not unreasonably impact the surrounding, existing, potential uses or development.</w:t>
      </w:r>
    </w:p>
    <w:p w14:paraId="6A1A6D02" w14:textId="77777777" w:rsidR="00107347" w:rsidRPr="00DC1997" w:rsidRDefault="00107347" w:rsidP="00107347">
      <w:pPr>
        <w:pStyle w:val="List4"/>
        <w:ind w:left="0" w:firstLine="0"/>
        <w:rPr>
          <w:color w:val="000000" w:themeColor="text1"/>
          <w:sz w:val="24"/>
        </w:rPr>
      </w:pPr>
    </w:p>
    <w:p w14:paraId="12D4DB38" w14:textId="77777777" w:rsidR="00107347" w:rsidRPr="00DC1997" w:rsidRDefault="00107347" w:rsidP="00107347">
      <w:pPr>
        <w:pStyle w:val="List3"/>
        <w:rPr>
          <w:color w:val="0070C0"/>
          <w:sz w:val="24"/>
        </w:rPr>
      </w:pPr>
      <w:r w:rsidRPr="00DC1997">
        <w:rPr>
          <w:color w:val="0070C0"/>
          <w:sz w:val="24"/>
        </w:rPr>
        <w:t>(B)</w:t>
      </w:r>
      <w:r w:rsidRPr="00DC1997">
        <w:rPr>
          <w:color w:val="0070C0"/>
          <w:sz w:val="24"/>
        </w:rPr>
        <w:tab/>
        <w:t xml:space="preserve">If located within a residential zone, the proposed development will not detract from the livability or appearance of the residential area. </w:t>
      </w:r>
    </w:p>
    <w:p w14:paraId="0AEA9FA1" w14:textId="77777777" w:rsidR="00107347" w:rsidRPr="00DC1997" w:rsidRDefault="00107347" w:rsidP="00107347">
      <w:pPr>
        <w:pStyle w:val="List3"/>
        <w:ind w:left="0" w:firstLine="0"/>
        <w:rPr>
          <w:b/>
          <w:bCs/>
          <w:color w:val="000000" w:themeColor="text1"/>
          <w:sz w:val="24"/>
          <w:u w:val="single"/>
        </w:rPr>
      </w:pPr>
    </w:p>
    <w:p w14:paraId="65FAA460" w14:textId="320BF1FF" w:rsidR="00107347" w:rsidRPr="00DC1997" w:rsidRDefault="00107347" w:rsidP="00107347">
      <w:pPr>
        <w:pStyle w:val="List3"/>
        <w:ind w:left="0" w:firstLine="0"/>
        <w:rPr>
          <w:color w:val="000000" w:themeColor="text1"/>
          <w:sz w:val="24"/>
        </w:rPr>
      </w:pPr>
      <w:r w:rsidRPr="00DC1997">
        <w:rPr>
          <w:b/>
          <w:bCs/>
          <w:color w:val="000000" w:themeColor="text1"/>
          <w:sz w:val="24"/>
          <w:u w:val="single"/>
        </w:rPr>
        <w:t xml:space="preserve">Response: </w:t>
      </w:r>
      <w:r w:rsidRPr="00DC1997">
        <w:rPr>
          <w:color w:val="000000" w:themeColor="text1"/>
          <w:sz w:val="24"/>
        </w:rPr>
        <w:tab/>
        <w:t>The criterion is met.</w:t>
      </w:r>
    </w:p>
    <w:p w14:paraId="5B80DC40" w14:textId="77777777" w:rsidR="00107347" w:rsidRPr="00DC1997" w:rsidRDefault="00107347" w:rsidP="00107347">
      <w:pPr>
        <w:pStyle w:val="List3"/>
        <w:ind w:left="0" w:firstLine="0"/>
        <w:rPr>
          <w:color w:val="0070C0"/>
          <w:sz w:val="24"/>
        </w:rPr>
      </w:pPr>
    </w:p>
    <w:p w14:paraId="798E7A3C" w14:textId="77777777" w:rsidR="00107347" w:rsidRPr="00DC1997" w:rsidRDefault="00107347" w:rsidP="00107347">
      <w:pPr>
        <w:pStyle w:val="List3"/>
        <w:ind w:left="950" w:firstLine="0"/>
        <w:rPr>
          <w:color w:val="0070C0"/>
          <w:sz w:val="24"/>
        </w:rPr>
      </w:pPr>
      <w:r w:rsidRPr="00DC1997">
        <w:rPr>
          <w:color w:val="0070C0"/>
          <w:sz w:val="24"/>
        </w:rPr>
        <w:t>(C)</w:t>
      </w:r>
      <w:r w:rsidRPr="00DC1997">
        <w:rPr>
          <w:color w:val="0070C0"/>
          <w:sz w:val="24"/>
        </w:rPr>
        <w:tab/>
        <w:t xml:space="preserve">If more than one adjustment has been requested, the cumulative effect of all the adjustments result in a project which is still consistent with the overall purpose of the zone. </w:t>
      </w:r>
    </w:p>
    <w:p w14:paraId="69F43AB8" w14:textId="77777777" w:rsidR="00107347" w:rsidRDefault="00107347" w:rsidP="00107347">
      <w:pPr>
        <w:pStyle w:val="List3"/>
        <w:ind w:left="0" w:firstLine="0"/>
        <w:rPr>
          <w:b/>
          <w:bCs/>
          <w:color w:val="000000" w:themeColor="text1"/>
          <w:sz w:val="24"/>
          <w:u w:val="single"/>
        </w:rPr>
      </w:pPr>
    </w:p>
    <w:p w14:paraId="597D8679" w14:textId="0F4F972F" w:rsidR="00107347" w:rsidRPr="00DC1997" w:rsidRDefault="00107347" w:rsidP="00107347">
      <w:pPr>
        <w:pStyle w:val="List3"/>
        <w:ind w:left="0" w:firstLine="0"/>
        <w:rPr>
          <w:color w:val="000000" w:themeColor="text1"/>
          <w:sz w:val="24"/>
        </w:rPr>
      </w:pPr>
      <w:r w:rsidRPr="00DC1997">
        <w:rPr>
          <w:b/>
          <w:bCs/>
          <w:color w:val="000000" w:themeColor="text1"/>
          <w:sz w:val="24"/>
          <w:u w:val="single"/>
        </w:rPr>
        <w:t>Response:</w:t>
      </w:r>
      <w:r w:rsidRPr="00DC1997">
        <w:rPr>
          <w:color w:val="000000" w:themeColor="text1"/>
          <w:sz w:val="24"/>
        </w:rPr>
        <w:t xml:space="preserve"> </w:t>
      </w:r>
      <w:r w:rsidRPr="00DC1997">
        <w:rPr>
          <w:color w:val="000000" w:themeColor="text1"/>
          <w:sz w:val="24"/>
        </w:rPr>
        <w:tab/>
        <w:t>The criterion is met.</w:t>
      </w:r>
    </w:p>
    <w:p w14:paraId="3F9CC3CC" w14:textId="77777777" w:rsidR="00107347" w:rsidRPr="00DC1997" w:rsidRDefault="00107347" w:rsidP="00107347">
      <w:pPr>
        <w:pStyle w:val="List3"/>
        <w:ind w:left="0" w:firstLine="0"/>
        <w:rPr>
          <w:color w:val="000000" w:themeColor="text1"/>
          <w:sz w:val="24"/>
        </w:rPr>
      </w:pPr>
    </w:p>
    <w:p w14:paraId="7C103BE7" w14:textId="77777777" w:rsidR="00107347" w:rsidRPr="00DC1997" w:rsidRDefault="00107347" w:rsidP="00107347">
      <w:pPr>
        <w:pStyle w:val="List3"/>
        <w:ind w:left="0" w:firstLine="0"/>
        <w:rPr>
          <w:color w:val="0070C0"/>
          <w:sz w:val="24"/>
        </w:rPr>
      </w:pPr>
    </w:p>
    <w:p w14:paraId="15D7021C" w14:textId="77777777" w:rsidR="00107347" w:rsidRPr="00DC1997" w:rsidRDefault="00107347" w:rsidP="00107347">
      <w:pPr>
        <w:pStyle w:val="List1"/>
        <w:rPr>
          <w:color w:val="0070C0"/>
          <w:sz w:val="24"/>
        </w:rPr>
      </w:pPr>
      <w:r w:rsidRPr="00DC1997">
        <w:rPr>
          <w:color w:val="0070C0"/>
          <w:sz w:val="24"/>
        </w:rPr>
        <w:lastRenderedPageBreak/>
        <w:t>(e)</w:t>
      </w:r>
      <w:r w:rsidRPr="00DC1997">
        <w:rPr>
          <w:color w:val="0070C0"/>
          <w:sz w:val="24"/>
        </w:rPr>
        <w:tab/>
      </w:r>
      <w:r w:rsidRPr="00DC1997">
        <w:rPr>
          <w:i/>
          <w:color w:val="0070C0"/>
          <w:sz w:val="24"/>
        </w:rPr>
        <w:t>Transfer of adjustments.</w:t>
      </w:r>
      <w:r w:rsidRPr="00DC1997">
        <w:rPr>
          <w:color w:val="0070C0"/>
          <w:sz w:val="24"/>
        </w:rPr>
        <w:t xml:space="preserve"> Unless otherwise provided in the final decision granting the adjustment, an adjustment shall run with the land. </w:t>
      </w:r>
    </w:p>
    <w:p w14:paraId="7478A2F1" w14:textId="77777777" w:rsidR="00107347" w:rsidRPr="00DC1997" w:rsidRDefault="00107347" w:rsidP="00107347">
      <w:pPr>
        <w:pStyle w:val="List4"/>
        <w:ind w:left="0" w:firstLine="0"/>
        <w:rPr>
          <w:sz w:val="24"/>
        </w:rPr>
      </w:pPr>
    </w:p>
    <w:p w14:paraId="530FEF49" w14:textId="77777777" w:rsidR="00107347" w:rsidRDefault="00107347" w:rsidP="00107347">
      <w:pPr>
        <w:rPr>
          <w:b/>
          <w:bCs/>
          <w:color w:val="000000" w:themeColor="text1"/>
          <w:u w:val="single"/>
        </w:rPr>
      </w:pPr>
    </w:p>
    <w:p w14:paraId="255BA78D" w14:textId="77777777" w:rsidR="00107347" w:rsidRPr="00DC1997" w:rsidRDefault="00107347" w:rsidP="00107347">
      <w:r w:rsidRPr="00DC1997">
        <w:rPr>
          <w:b/>
          <w:bCs/>
          <w:color w:val="000000" w:themeColor="text1"/>
          <w:u w:val="single"/>
        </w:rPr>
        <w:t>Response:</w:t>
      </w:r>
      <w:r w:rsidRPr="00DC1997">
        <w:rPr>
          <w:color w:val="000000" w:themeColor="text1"/>
        </w:rPr>
        <w:tab/>
        <w:t>The Applicant acknowledges that the adjustment runs with the land.</w:t>
      </w:r>
    </w:p>
    <w:p w14:paraId="0A6ADAC0" w14:textId="77777777" w:rsidR="00107347" w:rsidRDefault="00107347" w:rsidP="00C013F3"/>
    <w:sectPr w:rsidR="00107347" w:rsidSect="00162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448FC"/>
    <w:multiLevelType w:val="hybridMultilevel"/>
    <w:tmpl w:val="441E8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F91643"/>
    <w:multiLevelType w:val="hybridMultilevel"/>
    <w:tmpl w:val="441E8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0838B2"/>
    <w:multiLevelType w:val="hybridMultilevel"/>
    <w:tmpl w:val="A5C8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BF04C0"/>
    <w:multiLevelType w:val="hybridMultilevel"/>
    <w:tmpl w:val="BF4E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3F3"/>
    <w:rsid w:val="00003671"/>
    <w:rsid w:val="00016CB2"/>
    <w:rsid w:val="000359D1"/>
    <w:rsid w:val="0004612D"/>
    <w:rsid w:val="00053AD5"/>
    <w:rsid w:val="0005635F"/>
    <w:rsid w:val="00070FA1"/>
    <w:rsid w:val="00103763"/>
    <w:rsid w:val="00107347"/>
    <w:rsid w:val="00162FC3"/>
    <w:rsid w:val="00174A55"/>
    <w:rsid w:val="001A17E5"/>
    <w:rsid w:val="001B5C67"/>
    <w:rsid w:val="00206FB3"/>
    <w:rsid w:val="00214C00"/>
    <w:rsid w:val="00217780"/>
    <w:rsid w:val="0023237D"/>
    <w:rsid w:val="0026622E"/>
    <w:rsid w:val="0028293F"/>
    <w:rsid w:val="002A15AD"/>
    <w:rsid w:val="002A765B"/>
    <w:rsid w:val="002B46D2"/>
    <w:rsid w:val="002E2161"/>
    <w:rsid w:val="003414C6"/>
    <w:rsid w:val="00344DA0"/>
    <w:rsid w:val="00352777"/>
    <w:rsid w:val="00367C17"/>
    <w:rsid w:val="00412D4E"/>
    <w:rsid w:val="0041367A"/>
    <w:rsid w:val="004216A2"/>
    <w:rsid w:val="00421EB9"/>
    <w:rsid w:val="00460E0F"/>
    <w:rsid w:val="005212AD"/>
    <w:rsid w:val="00530796"/>
    <w:rsid w:val="00562F83"/>
    <w:rsid w:val="005A36CE"/>
    <w:rsid w:val="005A5231"/>
    <w:rsid w:val="005E0AE2"/>
    <w:rsid w:val="005E2D55"/>
    <w:rsid w:val="00666756"/>
    <w:rsid w:val="006860E4"/>
    <w:rsid w:val="00706057"/>
    <w:rsid w:val="00741140"/>
    <w:rsid w:val="00761260"/>
    <w:rsid w:val="007706E1"/>
    <w:rsid w:val="00810110"/>
    <w:rsid w:val="00832AD9"/>
    <w:rsid w:val="0084271E"/>
    <w:rsid w:val="00876AB1"/>
    <w:rsid w:val="008D74CA"/>
    <w:rsid w:val="008F498D"/>
    <w:rsid w:val="00903FBF"/>
    <w:rsid w:val="009118C1"/>
    <w:rsid w:val="009234EC"/>
    <w:rsid w:val="0093470E"/>
    <w:rsid w:val="009473A6"/>
    <w:rsid w:val="009A504B"/>
    <w:rsid w:val="009B411E"/>
    <w:rsid w:val="009F45B5"/>
    <w:rsid w:val="009F76F1"/>
    <w:rsid w:val="00A141E1"/>
    <w:rsid w:val="00A1434F"/>
    <w:rsid w:val="00A27D7C"/>
    <w:rsid w:val="00A60269"/>
    <w:rsid w:val="00A61FAF"/>
    <w:rsid w:val="00AC5637"/>
    <w:rsid w:val="00AE454E"/>
    <w:rsid w:val="00AF21DD"/>
    <w:rsid w:val="00B55847"/>
    <w:rsid w:val="00B64259"/>
    <w:rsid w:val="00BA17F5"/>
    <w:rsid w:val="00BE22DB"/>
    <w:rsid w:val="00BF0E0D"/>
    <w:rsid w:val="00BF1769"/>
    <w:rsid w:val="00C013F3"/>
    <w:rsid w:val="00C2189D"/>
    <w:rsid w:val="00C4290B"/>
    <w:rsid w:val="00C45D85"/>
    <w:rsid w:val="00CA405B"/>
    <w:rsid w:val="00CC234A"/>
    <w:rsid w:val="00CD7D9B"/>
    <w:rsid w:val="00D84329"/>
    <w:rsid w:val="00DB5318"/>
    <w:rsid w:val="00DF39CA"/>
    <w:rsid w:val="00E52087"/>
    <w:rsid w:val="00E80542"/>
    <w:rsid w:val="00EA1D20"/>
    <w:rsid w:val="00EA435C"/>
    <w:rsid w:val="00EC0A36"/>
    <w:rsid w:val="00F22518"/>
    <w:rsid w:val="00F82654"/>
    <w:rsid w:val="00F87388"/>
    <w:rsid w:val="00FA30B2"/>
    <w:rsid w:val="00FE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C868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iPriority="5" w:unhideWhenUsed="1" w:qFormat="1"/>
    <w:lsdException w:name="List 4" w:semiHidden="1" w:uiPriority="5"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734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7F5"/>
    <w:pPr>
      <w:ind w:left="720"/>
      <w:contextualSpacing/>
    </w:pPr>
  </w:style>
  <w:style w:type="character" w:customStyle="1" w:styleId="apple-converted-space">
    <w:name w:val="apple-converted-space"/>
    <w:basedOn w:val="DefaultParagraphFont"/>
    <w:rsid w:val="00460E0F"/>
  </w:style>
  <w:style w:type="character" w:styleId="Hyperlink">
    <w:name w:val="Hyperlink"/>
    <w:basedOn w:val="DefaultParagraphFont"/>
    <w:uiPriority w:val="99"/>
    <w:semiHidden/>
    <w:unhideWhenUsed/>
    <w:rsid w:val="00460E0F"/>
    <w:rPr>
      <w:color w:val="0000FF"/>
      <w:u w:val="single"/>
    </w:rPr>
  </w:style>
  <w:style w:type="paragraph" w:customStyle="1" w:styleId="Section">
    <w:name w:val="Section"/>
    <w:basedOn w:val="Heading1"/>
    <w:next w:val="Normal"/>
    <w:uiPriority w:val="1"/>
    <w:qFormat/>
    <w:rsid w:val="00107347"/>
    <w:pPr>
      <w:spacing w:before="180" w:after="120" w:line="276" w:lineRule="auto"/>
      <w:ind w:left="950" w:hanging="950"/>
      <w:outlineLvl w:val="5"/>
    </w:pPr>
    <w:rPr>
      <w:rFonts w:ascii="Calibri" w:eastAsiaTheme="minorHAnsi" w:hAnsi="Calibri" w:cstheme="minorBidi"/>
      <w:b/>
      <w:color w:val="auto"/>
      <w:sz w:val="24"/>
    </w:rPr>
  </w:style>
  <w:style w:type="paragraph" w:customStyle="1" w:styleId="List1">
    <w:name w:val="List 1"/>
    <w:basedOn w:val="Normal"/>
    <w:uiPriority w:val="5"/>
    <w:qFormat/>
    <w:rsid w:val="00107347"/>
    <w:pPr>
      <w:spacing w:before="40" w:after="120"/>
      <w:ind w:left="475" w:hanging="475"/>
    </w:pPr>
    <w:rPr>
      <w:rFonts w:ascii="Calibri" w:hAnsi="Calibri"/>
      <w:sz w:val="20"/>
    </w:rPr>
  </w:style>
  <w:style w:type="paragraph" w:styleId="List2">
    <w:name w:val="List 2"/>
    <w:basedOn w:val="List1"/>
    <w:uiPriority w:val="5"/>
    <w:qFormat/>
    <w:rsid w:val="00107347"/>
    <w:pPr>
      <w:ind w:left="950"/>
    </w:pPr>
  </w:style>
  <w:style w:type="paragraph" w:styleId="List3">
    <w:name w:val="List 3"/>
    <w:basedOn w:val="List2"/>
    <w:uiPriority w:val="5"/>
    <w:unhideWhenUsed/>
    <w:qFormat/>
    <w:rsid w:val="00107347"/>
    <w:pPr>
      <w:ind w:left="1425"/>
    </w:pPr>
  </w:style>
  <w:style w:type="paragraph" w:styleId="List4">
    <w:name w:val="List 4"/>
    <w:basedOn w:val="List3"/>
    <w:uiPriority w:val="5"/>
    <w:unhideWhenUsed/>
    <w:qFormat/>
    <w:rsid w:val="00107347"/>
    <w:pPr>
      <w:ind w:left="1915"/>
    </w:pPr>
  </w:style>
  <w:style w:type="character" w:customStyle="1" w:styleId="Heading1Char">
    <w:name w:val="Heading 1 Char"/>
    <w:basedOn w:val="DefaultParagraphFont"/>
    <w:link w:val="Heading1"/>
    <w:uiPriority w:val="9"/>
    <w:rsid w:val="0010734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264558">
      <w:bodyDiv w:val="1"/>
      <w:marLeft w:val="0"/>
      <w:marRight w:val="0"/>
      <w:marTop w:val="0"/>
      <w:marBottom w:val="0"/>
      <w:divBdr>
        <w:top w:val="none" w:sz="0" w:space="0" w:color="auto"/>
        <w:left w:val="none" w:sz="0" w:space="0" w:color="auto"/>
        <w:bottom w:val="none" w:sz="0" w:space="0" w:color="auto"/>
        <w:right w:val="none" w:sz="0" w:space="0" w:color="auto"/>
      </w:divBdr>
    </w:div>
    <w:div w:id="1246649820">
      <w:bodyDiv w:val="1"/>
      <w:marLeft w:val="0"/>
      <w:marRight w:val="0"/>
      <w:marTop w:val="0"/>
      <w:marBottom w:val="0"/>
      <w:divBdr>
        <w:top w:val="none" w:sz="0" w:space="0" w:color="auto"/>
        <w:left w:val="none" w:sz="0" w:space="0" w:color="auto"/>
        <w:bottom w:val="none" w:sz="0" w:space="0" w:color="auto"/>
        <w:right w:val="none" w:sz="0" w:space="0" w:color="auto"/>
      </w:divBdr>
    </w:div>
    <w:div w:id="1376655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503540239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C2F017-B761-BD4E-9521-B6A76E26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Lapray</dc:creator>
  <cp:keywords/>
  <dc:description/>
  <cp:lastModifiedBy>Sam Lapray</cp:lastModifiedBy>
  <cp:revision>2</cp:revision>
  <cp:lastPrinted>2021-02-12T20:30:00Z</cp:lastPrinted>
  <dcterms:created xsi:type="dcterms:W3CDTF">2021-10-21T17:35:00Z</dcterms:created>
  <dcterms:modified xsi:type="dcterms:W3CDTF">2021-10-21T17:35:00Z</dcterms:modified>
</cp:coreProperties>
</file>